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1D" w:rsidRDefault="007A747C">
      <w:pPr>
        <w:spacing w:line="360" w:lineRule="auto"/>
        <w:jc w:val="left"/>
      </w:pPr>
      <w:r>
        <w:rPr>
          <w:rFonts w:ascii="宋体" w:hAnsi="宋体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11722100</wp:posOffset>
            </wp:positionV>
            <wp:extent cx="469900" cy="368300"/>
            <wp:effectExtent l="0" t="0" r="635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机密★启用前</w:t>
      </w:r>
    </w:p>
    <w:p w:rsidR="00C3131D" w:rsidRDefault="007A747C">
      <w:pPr>
        <w:spacing w:line="360" w:lineRule="auto"/>
        <w:jc w:val="center"/>
      </w:pPr>
      <w:r>
        <w:rPr>
          <w:rFonts w:ascii="宋体" w:hAnsi="宋体"/>
          <w:b/>
          <w:sz w:val="32"/>
        </w:rPr>
        <w:t>2023年湖北省普通高中学业水平选择性考试历史</w:t>
      </w:r>
    </w:p>
    <w:p w:rsidR="00C3131D" w:rsidRDefault="007A747C">
      <w:pPr>
        <w:spacing w:line="360" w:lineRule="auto"/>
        <w:jc w:val="center"/>
      </w:pPr>
      <w:r>
        <w:rPr>
          <w:rFonts w:ascii="宋体" w:hAnsi="宋体"/>
          <w:b/>
          <w:sz w:val="24"/>
        </w:rPr>
        <w:t>本试卷共6页，19题。全卷满分100分。考试用时75分钟。</w:t>
      </w:r>
    </w:p>
    <w:p w:rsidR="00C3131D" w:rsidRDefault="007A747C">
      <w:pPr>
        <w:spacing w:line="360" w:lineRule="auto"/>
        <w:jc w:val="left"/>
      </w:pPr>
      <w:r>
        <w:rPr>
          <w:rFonts w:ascii="宋体" w:hAnsi="宋体"/>
          <w:b/>
          <w:sz w:val="24"/>
        </w:rPr>
        <w:t>★祝考试顺利★</w:t>
      </w:r>
    </w:p>
    <w:p w:rsidR="00C3131D" w:rsidRDefault="007A747C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:rsidR="00C3131D" w:rsidRDefault="007A747C">
      <w:pPr>
        <w:spacing w:line="360" w:lineRule="auto"/>
        <w:jc w:val="left"/>
      </w:pPr>
      <w:r>
        <w:rPr>
          <w:rFonts w:ascii="宋体" w:hAnsi="宋体"/>
          <w:b/>
          <w:sz w:val="24"/>
        </w:rPr>
        <w:t>1.答题前，先将自己的姓名、准考证号、考场号、座位号填写在试卷和答题卡上，并认真核准准考证号条形码上的以上信息，将条形码粘贴在答题卡上的指定位置。</w:t>
      </w:r>
    </w:p>
    <w:p w:rsidR="00C3131D" w:rsidRDefault="007A747C">
      <w:pPr>
        <w:spacing w:line="360" w:lineRule="auto"/>
        <w:jc w:val="left"/>
      </w:pPr>
      <w:r>
        <w:rPr>
          <w:rFonts w:ascii="宋体" w:hAnsi="宋体"/>
          <w:b/>
          <w:sz w:val="24"/>
        </w:rPr>
        <w:t>2.请按题号顺序在答题卡上各题目的答题区域内作答，写在试卷、草稿纸和答题卡上的非答题区域均无效。</w:t>
      </w:r>
    </w:p>
    <w:p w:rsidR="00C3131D" w:rsidRDefault="007A747C">
      <w:pPr>
        <w:spacing w:line="360" w:lineRule="auto"/>
        <w:jc w:val="left"/>
      </w:pPr>
      <w:r>
        <w:rPr>
          <w:rFonts w:ascii="宋体" w:hAnsi="宋体"/>
          <w:b/>
          <w:sz w:val="24"/>
        </w:rPr>
        <w:t>3.选择题用2B铅笔在答题卡上把所选答案的标号涂黑；非选择题用黑色签字笔在答题卡上作答；字体工整，笔迹清楚。</w:t>
      </w:r>
    </w:p>
    <w:p w:rsidR="00C3131D" w:rsidRDefault="007A747C">
      <w:pPr>
        <w:spacing w:line="360" w:lineRule="auto"/>
        <w:jc w:val="left"/>
      </w:pPr>
      <w:r>
        <w:rPr>
          <w:rFonts w:ascii="宋体" w:hAnsi="宋体"/>
          <w:b/>
          <w:sz w:val="24"/>
        </w:rPr>
        <w:t>4.考试结束后，请将试卷和答题卡一并上交。</w:t>
      </w:r>
    </w:p>
    <w:p w:rsidR="00C3131D" w:rsidRDefault="007A747C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一、选择题：本题共15小题，每小题3分，共45分。在每小题给出的四个选项中，只有一项是符合题目要求的。</w:t>
      </w:r>
    </w:p>
    <w:p w:rsidR="00C3131D" w:rsidRDefault="007A747C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象形文字在一定程度上可以反映创字时的生态环境、经济生活和思想观念等。下表是“农”字的演变历程，其创意是在树木众多的地方以蜃（蚌壳）制工具从事劳作。“农”字的创制可反映当时（   ）</w:t>
      </w:r>
    </w:p>
    <w:p w:rsidR="00C3131D" w:rsidRDefault="007A747C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3638550" cy="1514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天人合一的宇宙观念</w:t>
      </w:r>
      <w:r>
        <w:tab/>
        <w:t xml:space="preserve">B. </w:t>
      </w:r>
      <w:r>
        <w:rPr>
          <w:rFonts w:ascii="宋体" w:hAnsi="宋体"/>
        </w:rPr>
        <w:t>渔猎采集的劳动方式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形神兼备的书画艺术</w:t>
      </w:r>
      <w:r>
        <w:tab/>
        <w:t xml:space="preserve">D. </w:t>
      </w:r>
      <w:r>
        <w:rPr>
          <w:rFonts w:ascii="宋体" w:hAnsi="宋体"/>
        </w:rPr>
        <w:t>原始农耕的生产状况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司马迁认为，在推翻秦王朝过程中，项羽是天下诸侯的盟主，“位虽不终，近古以来未尝有也”，故而在《史记》中将项羽列入本纪。唐代史家刘知几则指出：“霸王者，即当时诸侯。诸侯而称本纪，求名责实，再三乖谬。”两者认识不同的根源在于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史书编纂体例的选择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正统观念的左右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历史叙述原则的取向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情感倾向的影响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唐代初期，太宗称：“我今为天下主，无问中国及四夷，皆养活之。不安者，我必令安；不乐者，我必令乐。”由于边远诸族聚居地生产相对落后，无法执行内地赋役标准，朝廷依据实情实施轻税政策，如建</w:t>
      </w:r>
      <w:r>
        <w:rPr>
          <w:rFonts w:ascii="宋体" w:hAnsi="宋体"/>
          <w:color w:val="000000"/>
        </w:rPr>
        <w:lastRenderedPageBreak/>
        <w:t>中元年（780）规定：“诸边远州有夷僚杂类之所，应输课役者，随事斟量，不必同之华夏。”上述材料集中体现了唐朝（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采取灵活政策促进民族交往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重视边境民族地区的社会治理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调整经济政策推动区域发展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坚持推行因俗而治的民族政策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宋代依据有无田产，将全国户口分为主户和客户。下表是北宋宝元元年（1038）和元丰元年（1078）三路主户、客户的统计数据，表中客户比率变化反映（   ）</w:t>
      </w:r>
    </w:p>
    <w:tbl>
      <w:tblPr>
        <w:tblW w:w="7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450"/>
        <w:gridCol w:w="870"/>
        <w:gridCol w:w="870"/>
        <w:gridCol w:w="765"/>
        <w:gridCol w:w="870"/>
        <w:gridCol w:w="870"/>
        <w:gridCol w:w="753"/>
        <w:gridCol w:w="13"/>
        <w:gridCol w:w="870"/>
        <w:gridCol w:w="870"/>
        <w:gridCol w:w="765"/>
      </w:tblGrid>
      <w:tr w:rsidR="00C3131D">
        <w:trPr>
          <w:trHeight w:val="630"/>
        </w:trPr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年份</w:t>
            </w:r>
          </w:p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数据</w:t>
            </w:r>
          </w:p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户别</w:t>
            </w:r>
          </w:p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政区</w:t>
            </w:r>
          </w:p>
        </w:tc>
        <w:tc>
          <w:tcPr>
            <w:tcW w:w="2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荆湖南路</w:t>
            </w:r>
          </w:p>
        </w:tc>
        <w:tc>
          <w:tcPr>
            <w:tcW w:w="2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荆湖北路</w:t>
            </w:r>
          </w:p>
        </w:tc>
        <w:tc>
          <w:tcPr>
            <w:tcW w:w="21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江南东路</w:t>
            </w:r>
          </w:p>
        </w:tc>
      </w:tr>
      <w:tr w:rsidR="00C3131D">
        <w:trPr>
          <w:trHeight w:val="100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31D" w:rsidRDefault="00C313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主户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客户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客户比率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主户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客户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客户比率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主户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客户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客户比率</w:t>
            </w:r>
          </w:p>
        </w:tc>
      </w:tr>
      <w:tr w:rsidR="00C3131D">
        <w:trPr>
          <w:trHeight w:val="570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宝元元年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456431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354626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0.437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350593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238709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0.405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902261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171499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0.160</w:t>
            </w:r>
          </w:p>
        </w:tc>
      </w:tr>
      <w:tr w:rsidR="00C3131D">
        <w:trPr>
          <w:trHeight w:val="58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元丰元年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475677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395537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0.454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280000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377533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0.574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926225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201086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0.178</w:t>
            </w:r>
          </w:p>
        </w:tc>
      </w:tr>
    </w:tbl>
    <w:p w:rsidR="00C3131D" w:rsidRDefault="00C3131D">
      <w:pPr>
        <w:spacing w:line="360" w:lineRule="auto"/>
        <w:jc w:val="left"/>
        <w:textAlignment w:val="center"/>
        <w:rPr>
          <w:color w:val="000000"/>
        </w:rPr>
      </w:pP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土地兼并程度加深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地域经济差别扩大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商品经济发展加快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贫富差距逐渐缩小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科举及第人数是衡量区域社会流动、经济发展与文化建设等程度的重要指标。下图为明代湖北进士及湖北籍人物著作分布情况。由此可见（   ）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5238750" cy="1800860"/>
            <wp:effectExtent l="0" t="0" r="0" b="889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01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人文环境与人才选拔相互影响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交通条件制约人才分布的格局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政区等级与文教水平保持一致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文化成就与人口升降密切相关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鸦片战争后，列强将不平等条约强加给中国，清朝原有的法律体系随之发生改变。《北京条约》签订后，清初制定的海禁律例从根本上被打破。1870年，《大清律例》新增打击拐卖人口出洋、允许华民出洋务工的条文。1909年，清政府颁布《大清国籍条例》，以保护海外华侨。上述材料说明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清廷改革受西方法律影响明显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条约体系与中国国内法关系密切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清朝被迫从闭关锁国走向开放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清政府通过调整法律以应对时局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下表是有关太平天国运动领导人洪秀全的描述，对此解读最准确的是（   ）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890"/>
        <w:gridCol w:w="6405"/>
      </w:tblGrid>
      <w:tr w:rsidR="00C3131D">
        <w:trPr>
          <w:trHeight w:val="330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来源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内容</w:t>
            </w:r>
          </w:p>
        </w:tc>
      </w:tr>
      <w:tr w:rsidR="00C3131D">
        <w:trPr>
          <w:trHeight w:val="330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太平天国方面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躯长大，面微圆而白，鼻高耳圆而小，其声音响亮而沉重，笑时屋为之震，有极大之膂力与极敏捷之知觉</w:t>
            </w:r>
          </w:p>
        </w:tc>
      </w:tr>
      <w:tr w:rsidR="00C3131D">
        <w:trPr>
          <w:trHeight w:val="330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清廷方面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身材魁硕，赤面高颧，有须，粗通文墨，素无赖，日事赌博；体质肥钝，了无异人处</w:t>
            </w:r>
          </w:p>
        </w:tc>
      </w:tr>
      <w:tr w:rsidR="00C3131D">
        <w:trPr>
          <w:trHeight w:val="330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民国前后革命党人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面长丰满，红须，手垂过膝；身干长大，富雄姿，豪迈博学，治《春秋》《汉书》</w:t>
            </w:r>
          </w:p>
        </w:tc>
      </w:tr>
    </w:tbl>
    <w:p w:rsidR="00C3131D" w:rsidRDefault="00C3131D">
      <w:pPr>
        <w:spacing w:line="360" w:lineRule="auto"/>
        <w:jc w:val="left"/>
        <w:textAlignment w:val="center"/>
        <w:rPr>
          <w:color w:val="000000"/>
        </w:rPr>
      </w:pP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不同史料对人物的记载不同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不同的描述体现人物的多面性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不同立场影响对人物的描述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不同时期对人物描述有所侧重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1915年5月22日，《申报》刊登了一则上海中国明明眼镜公司的声明：“近有丧心病狂之徒，以自己之营业失败，侮蔑本公司货物，谓贩自日本，实为本公司意外之奇辱也……不独本公司无丝毫日货，即中国全国眼镜界上，吾亦敢断言绝无丝毫日货混杂其间。”该现象反映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外交关系影响社会舆论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新文化运动的深入发展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民族企业发展形势严峻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中外商业竞争愈发激烈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全面抗战爆发后，八路军来到太行山区，山西省平顺县西沟村贫苦农民李顺达得以翻身。1943年，李顺达组织六户贫困农民成立农业劳动互助组。1950年，他参加了全国工农兵劳动英雄代表大会。1951年，李顺达互助组发起生产竞赛，全国各地纷纷响应。据此可知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根据地的经验延续至新中国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农业互助组是主要生产组织形式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劳模示范推动技术领域创新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互助合作推动三大改造顺利开展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中国加入世界贸易组织经历了15年漫长历程。1986年，中国正式提出“复关”申请，此后数年谈判没有实质性进展。1992年10月以后，前期谈判的核心问题才迎刃而解。出现这种变化的主要原因是（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世界两极格局的瓦解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中国特色社会主义理论体系初步形成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经济全球化快速发展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中国确立社会主义市场经济体制目标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某学者关注世界历史上的一位著名统治者，研究其在位时期的文治武功。该统治者以恢复旧日罗马帝国的荣耀为己任，力图建立“一位皇帝、一部法律、一个帝国”的新秩序。最符合该研究主题的史实是（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罗马帝国一分为二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都城改名为伊斯坦布尔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颁布第一部成文法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征服占领北非和意大利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13世纪时，英格兰的一则小品剧中，庄园领主在法庭上公开讨论小麦、奶酪、鸡蛋和小乳猪的价格。无独有偶，《田庄总管职责》也提醒领主和总管，羊毛应该论包或以一只羊一次所剪的毛为单位出售，怎样卖收益最大、好处最多，就怎样卖。上述材料反映英格兰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封建庄园制度已濒临崩溃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庄园农产品获利丰厚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农业的经济转型趋势初显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圈地运动正迅速开展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19世纪后期，从希腊神庙到拜占庭教堂的所有建筑风格，法国都有人模仿。“思想纯正”的建筑师们长期拒绝利用钢铁和钢筋混凝土等新工业材料，认为以埃菲尔为代表的这些人“不能妄称可以创造美”，尤其对1889年万国博览会之际出现的那座铁塔感到愤慨。这说明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技术进步改变民众生活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工业文明孕育艺术创新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启蒙运动影响设计理念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建筑风格固守历史传统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在第一次世界大战中，殖民国家曾动用相当数量的军力迫使非洲人支持宗主国。在第二次世界大战中，殖民国家不再仅仅依赖武力，而是更倾向于运用电影、无线电和报纸来推广战时宣传，鼓励和邀请非洲人支持欧洲战争。这种转变的主要原因是（   ）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宗主国殖民控制放松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非洲人民的广泛觉醒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现代技术手段的发展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世界大战性质的转变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1946年6月25日，世界银行正式营业。截至1949年6月底，银行资产约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20.73亿美元，贷款审批情况如下表（单位：亿美元），这反映二战后初期世界银行（   ）</w:t>
      </w:r>
    </w:p>
    <w:tbl>
      <w:tblPr>
        <w:tblW w:w="7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32"/>
        <w:gridCol w:w="567"/>
        <w:gridCol w:w="660"/>
        <w:gridCol w:w="627"/>
        <w:gridCol w:w="660"/>
        <w:gridCol w:w="736"/>
        <w:gridCol w:w="567"/>
        <w:gridCol w:w="567"/>
        <w:gridCol w:w="660"/>
        <w:gridCol w:w="777"/>
        <w:gridCol w:w="567"/>
        <w:gridCol w:w="660"/>
      </w:tblGrid>
      <w:tr w:rsidR="00C3131D">
        <w:trPr>
          <w:trHeight w:val="114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货款</w:t>
            </w:r>
          </w:p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国别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法国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荷兰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南斯</w:t>
            </w:r>
          </w:p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拉夫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智利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捷克斯洛伐克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丹麦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伊朗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卢森堡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墨西哥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波兰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巴西</w:t>
            </w:r>
          </w:p>
        </w:tc>
      </w:tr>
      <w:tr w:rsidR="00C3131D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申请额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5</w:t>
            </w:r>
            <w:r>
              <w:rPr>
                <w:rFonts w:ascii="宋体" w:hAnsi="宋体"/>
                <w:noProof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5.35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5.0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3.5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2.5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6.0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1.0</w:t>
            </w:r>
          </w:p>
        </w:tc>
      </w:tr>
      <w:tr w:rsidR="00C3131D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批准额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2.5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1.95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</w:t>
            </w:r>
            <w:r>
              <w:rPr>
                <w:rFonts w:ascii="宋体" w:hAnsi="宋体"/>
                <w:noProof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17" name="图片 10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0.341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131D" w:rsidRDefault="007A7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0.75</w:t>
            </w:r>
          </w:p>
        </w:tc>
      </w:tr>
    </w:tbl>
    <w:p w:rsidR="00C3131D" w:rsidRDefault="00C3131D">
      <w:pPr>
        <w:spacing w:line="360" w:lineRule="auto"/>
        <w:jc w:val="left"/>
        <w:textAlignment w:val="center"/>
        <w:rPr>
          <w:color w:val="000000"/>
        </w:rPr>
      </w:pP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配合马歇尔计划的实施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贷款对象集中于不发达国家</w:t>
      </w:r>
    </w:p>
    <w:p w:rsidR="00C3131D" w:rsidRDefault="007A74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决策行为受到冷战影响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推动区域经济集团化的形成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二、非选择题：本题共4小题，共55分。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[军事人才的培养与选任]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材料一中国古代军事人才的培养与选任随时代变化而不断调整。西周“六艺”重视射、御。唐代设立武举，测试骑射、负重等。两宋至明代都延续武举，并设置武学。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就武举而言，两宋“以策（论）为去留，弓马为高下”，“凡武举，始试义、策于秘阁，武艺则试于殿前司，及殿试，则又试骑射及策”。由于统治者重文轻武，宋代士人有能力应进士举者，不屑于应武举。明弘治六年（1493）规定，武举“六岁一行，先策略，后弓马，策不中者不许骑射”。然而明代武职多荫袭，武举只是补充形式。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就武学而论，宋代武学“设教授以文武臣熟知兵事者充任……视看人材、试验弓马，合格者始许入学”。其教学内容除弓马武艺外，尤其重视“习诸家兵法，教授纂次历代用兵成败、前世忠义之节”。明代武学则增加了《论语》《孟子》等作为主要教材。</w:t>
      </w:r>
    </w:p>
    <w:p w:rsidR="00C3131D" w:rsidRDefault="007A747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——据《宋史》《明史》等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“以弧矢定天下”的清王朝，武举渐以骑射、技勇为重。嘉庆年间改策论为默写武经百余字即合格。而武官选任则以行伍出身为正途，武举出身次之。就军事教育而言，清廷不再专设武学，而是在官学设立武学教习教授生员。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鸦片战争之后，清政府先后创办福州船政学堂、天津水师学堂、湖北武备学堂等新式学堂。其课程主要教授数、理、化等自然科学知识，以及新式炮台和营垒的构筑方法等工程技术。编练的新军按才学品行</w:t>
      </w:r>
      <w:r>
        <w:rPr>
          <w:rFonts w:ascii="楷体" w:eastAsia="楷体" w:hAnsi="楷体" w:cs="楷体"/>
          <w:color w:val="000000"/>
        </w:rPr>
        <w:lastRenderedPageBreak/>
        <w:t>优劣、训练勤惰、考核成绩高低决定赏罚，排以上的军官须由军事学堂出身者担任。</w:t>
      </w:r>
    </w:p>
    <w:p w:rsidR="00C3131D" w:rsidRDefault="007A747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——摘编自《中国大通史》等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根据材料一，概括宋明武举的共同特点。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根据材料并结合所学，阐述从宋明到清代军事人才培养与选任的变化及原因。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[根据地与敌后抗战]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八路军在华北的战略展开，大体上经历了三个阶段：太原失守以前，八路军主要是以游击战和游击运动战直接在战役上配合友军作战，以少部兵力进行发动群众和组织群众武装的工作；太原失守以后，八路军各师主力分别在晋察冀、晋东南、晋西北和晋西南开展独立自主的山地游击战争；1938年4月以后，八路军实行大幅度分兵，向河北、豫北平原、山东、冀热边和绥远等华北广大敌后区域发展游击战争，开辟了广大的敌后战场。</w:t>
      </w:r>
    </w:p>
    <w:p w:rsidR="00C3131D" w:rsidRDefault="007A747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——摘自中共中央党史研究室《中国共产党历史》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895725" cy="27527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根据材料一并结合所学，简述八路军在华北战略展开的意义。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根据材料并结合所学，指出华北敌后抗日根据地的分布特征，并分析敌后抗战的战争形式以“游击战”为主的原因。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18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[美元霸权与国际秩序]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材料—  20世纪30年代的货币混乱带来了一系列灾难性后果，在各国中激起对于国际合作的热望。从英美提出战后国际货币计划开始，凡参与讨论的国家都没有对其目标提出异议。在1944年7月召开的布雷顿森林会议上，美国推动他国同意一系列国际货币安排，筹备设立国际货币基金组织和国际复兴开发银行。与此同时，以英国为代表的诸国所获得的成绩，如稀有货币条款、过渡时期的设置等无一不是顽强斗争的结果，绝非源于美国方面的慷慨恩赐。苏联代表认为，会议对于维护并加强世界和平与安全均具有重要意</w:t>
      </w:r>
      <w:r>
        <w:rPr>
          <w:rFonts w:ascii="楷体" w:eastAsia="楷体" w:hAnsi="楷体" w:cs="楷体"/>
          <w:color w:val="000000"/>
        </w:rPr>
        <w:lastRenderedPageBreak/>
        <w:t>义。法国代表回顾了货币与经济会议的多次失败后，认为此次会议在历史上“开创了一个新时代”。</w:t>
      </w:r>
    </w:p>
    <w:p w:rsidR="00C3131D" w:rsidRDefault="007A747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——摘编自王在帮《霸权稳定论批判》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  1971年8月15日，尼克松未与他国商量便径自宣布停止美元兑换黄金，直接导致布雷顿森林体系固定汇率制度的崩溃，引起世界哗然。在各国讨论应对这一重大变故之时，大多数决策者头脑中不断浮现的是，将大萧条转变成一次世界大灾难的事件——1933年世界经济会议的失败、纳粹主义的兴起以及最后的世界大战。但从宏观视角看，这些担心被普遍夸大了。浮动汇率没有带来经济萧条或政治混乱，更没有引发战争，布雷顿森林体系其他机制得以延续。</w:t>
      </w:r>
    </w:p>
    <w:p w:rsidR="00C3131D" w:rsidRDefault="007A747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——摘编自[美]弗朗西斯·加文《黄金、美元与权力》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根据材料一并结合所学，指出20世纪30年代货币混乱的表现，简析布雷顿森林会议“开创了一个新时代”的含义。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根据材料并结合所学，说明浮动汇率没有引发经济萧条等严重后果的原因，并评价美国停止美元兑换黄金的举措。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[文明涵化与文化自信]</w:t>
      </w:r>
    </w:p>
    <w:p w:rsidR="00C3131D" w:rsidRDefault="007A7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冯天瑜先生在《中国文化生成史》中指出，多极世界各具特色的文明彼此交流沟通，其间既有冲突激荡，又有吸纳融会，达成你中有我、我中有你的“涵化”结果。今日所谓“西方文明”是多元复合物，东亚文明的持续发展也是诸文明“对话”的产物。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请以“文明涵化”为主题，任选角度，自拟标题，运用所学知识加以论述。（要求：观点明确，史论结合，表述成文。）</w:t>
      </w:r>
    </w:p>
    <w:p w:rsidR="00C3131D" w:rsidRDefault="007A7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:rsidR="00C3131D" w:rsidRDefault="00C3131D">
      <w:pPr>
        <w:spacing w:line="360" w:lineRule="auto"/>
        <w:textAlignment w:val="center"/>
        <w:rPr>
          <w:color w:val="000000"/>
        </w:rPr>
        <w:sectPr w:rsidR="00C3131D">
          <w:footerReference w:type="default" r:id="rId13"/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</w:p>
    <w:p w:rsidR="00C3131D" w:rsidRDefault="00C3131D">
      <w:bookmarkStart w:id="0" w:name="_GoBack"/>
      <w:bookmarkEnd w:id="0"/>
    </w:p>
    <w:sectPr w:rsidR="00C3131D" w:rsidSect="00C3131D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31D" w:rsidRDefault="00C3131D" w:rsidP="00C3131D">
      <w:r>
        <w:separator/>
      </w:r>
    </w:p>
  </w:endnote>
  <w:endnote w:type="continuationSeparator" w:id="0">
    <w:p w:rsidR="00C3131D" w:rsidRDefault="00C3131D" w:rsidP="00C31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楷体">
    <w:altName w:val="宋体"/>
    <w:charset w:val="86"/>
    <w:family w:val="modern"/>
    <w:pitch w:val="fixed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8B" w:rsidRPr="00F12E8B" w:rsidRDefault="00F12E8B" w:rsidP="00F12E8B">
    <w:pPr>
      <w:pStyle w:val="a3"/>
      <w:jc w:val="center"/>
      <w:rPr>
        <w:rFonts w:ascii="MS Sans Serif" w:hAnsi="MS Sans Serif"/>
        <w:sz w:val="19"/>
      </w:rPr>
    </w:pPr>
    <w:r w:rsidRPr="00F12E8B">
      <w:rPr>
        <w:rFonts w:ascii="MS Sans Serif" w:hAnsi="MS Sans Serif" w:hint="eastAsia"/>
        <w:sz w:val="19"/>
      </w:rPr>
      <w:t>第一试卷网</w:t>
    </w:r>
    <w:r w:rsidRPr="00F12E8B">
      <w:rPr>
        <w:rFonts w:ascii="MS Sans Serif" w:hAnsi="MS Sans Serif" w:hint="eastAsia"/>
        <w:sz w:val="19"/>
      </w:rPr>
      <w:t xml:space="preserve">    Shijuan1.Com    </w:t>
    </w:r>
    <w:r w:rsidRPr="00F12E8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31D" w:rsidRDefault="00C3131D" w:rsidP="00C3131D">
      <w:r>
        <w:separator/>
      </w:r>
    </w:p>
  </w:footnote>
  <w:footnote w:type="continuationSeparator" w:id="0">
    <w:p w:rsidR="00C3131D" w:rsidRDefault="00C3131D" w:rsidP="00C313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NlYzllZGVlN2QyNTYwNTRkNjMwMGE5MDQzZDI4ZGI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A747C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454F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131D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12E8B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3B65A2"/>
    <w:rsid w:val="38274566"/>
    <w:rsid w:val="5E853A31"/>
    <w:rsid w:val="6756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3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313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C3131D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C3131D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sid w:val="00C3131D"/>
    <w:rPr>
      <w:kern w:val="2"/>
      <w:sz w:val="18"/>
      <w:szCs w:val="24"/>
    </w:rPr>
  </w:style>
  <w:style w:type="paragraph" w:styleId="a6">
    <w:name w:val="No Spacing"/>
    <w:uiPriority w:val="1"/>
    <w:qFormat/>
    <w:rsid w:val="00C3131D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C3131D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7A747C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7A74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ADBB1-347E-436B-B985-567C381C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2525</Words>
  <Characters>2678</Characters>
  <Application>Microsoft Office Word</Application>
  <DocSecurity>0</DocSecurity>
  <Lines>148</Lines>
  <Paragraphs>173</Paragraphs>
  <ScaleCrop>false</ScaleCrop>
  <Manager/>
  <Company>http://www.shijuan1.com</Company>
  <LinksUpToDate>false</LinksUpToDate>
  <CharactersWithSpaces>5030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10</cp:revision>
  <dcterms:created xsi:type="dcterms:W3CDTF">2023-06-14T21:08:00Z</dcterms:created>
  <dcterms:modified xsi:type="dcterms:W3CDTF">2023-07-23T00:12:00Z</dcterms:modified>
  <cp:category/>
</cp:coreProperties>
</file>