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73" w:rsidRDefault="007D1D4C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10325100</wp:posOffset>
            </wp:positionV>
            <wp:extent cx="292100" cy="2794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河南省</w:t>
      </w: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年普通高等学校招生全国统一考试</w:t>
      </w:r>
    </w:p>
    <w:p w:rsidR="00C23273" w:rsidRDefault="007D1D4C">
      <w:pPr>
        <w:spacing w:line="360" w:lineRule="auto"/>
        <w:jc w:val="center"/>
      </w:pPr>
      <w:r>
        <w:rPr>
          <w:rFonts w:ascii="宋体" w:hAnsi="宋体"/>
          <w:b/>
          <w:sz w:val="32"/>
        </w:rPr>
        <w:t>理科综合能力测试</w:t>
      </w:r>
    </w:p>
    <w:p w:rsidR="00C23273" w:rsidRDefault="007D1D4C">
      <w:pPr>
        <w:spacing w:line="360" w:lineRule="auto"/>
      </w:pPr>
      <w:r>
        <w:rPr>
          <w:rFonts w:ascii="宋体" w:hAnsi="宋体"/>
          <w:b/>
          <w:sz w:val="24"/>
        </w:rPr>
        <w:t>一、选择题：</w:t>
      </w:r>
    </w:p>
    <w:p w:rsidR="00C23273" w:rsidRDefault="007D1D4C">
      <w:pPr>
        <w:spacing w:line="360" w:lineRule="auto"/>
      </w:pPr>
      <w:r>
        <w:t xml:space="preserve">1. </w:t>
      </w:r>
      <w:r>
        <w:rPr>
          <w:rFonts w:ascii="宋体" w:hAnsi="宋体"/>
        </w:rPr>
        <w:t>生物体内参与生命活动的生物大分子可由单体聚合而成，构成蛋白质等生物大分子的单体和连接键，以及检测生物大分子的试剂等信息如下表。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70"/>
        <w:gridCol w:w="870"/>
        <w:gridCol w:w="1290"/>
        <w:gridCol w:w="1920"/>
      </w:tblGrid>
      <w:tr w:rsidR="00C23273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单体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连接键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生物大分子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检测试剂或染色剂</w:t>
            </w:r>
          </w:p>
        </w:tc>
      </w:tr>
      <w:tr w:rsidR="00C23273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葡萄糖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Calibri" w:eastAsia="Calibri" w:hAnsi="Calibri" w:cs="Calibri"/>
              </w:rPr>
              <w:t>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—</w:t>
            </w:r>
          </w:p>
        </w:tc>
      </w:tr>
      <w:tr w:rsidR="00C23273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Calibri" w:eastAsia="Calibri" w:hAnsi="Calibri" w:cs="Calibri"/>
              </w:rPr>
              <w:t>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Calibri" w:eastAsia="Calibri" w:hAnsi="Calibri" w:cs="Calibri"/>
              </w:rPr>
              <w:t>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蛋白质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Calibri" w:eastAsia="Calibri" w:hAnsi="Calibri" w:cs="Calibri"/>
              </w:rPr>
              <w:t>④</w:t>
            </w:r>
          </w:p>
        </w:tc>
      </w:tr>
      <w:tr w:rsidR="00C23273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Calibri" w:eastAsia="Calibri" w:hAnsi="Calibri" w:cs="Calibri"/>
              </w:rPr>
              <w:t>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宋体" w:hAnsi="宋体"/>
              </w:rPr>
              <w:t>核酸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23273" w:rsidRDefault="007D1D4C">
            <w:pPr>
              <w:spacing w:line="360" w:lineRule="auto"/>
              <w:jc w:val="center"/>
            </w:pPr>
            <w:r>
              <w:rPr>
                <w:rFonts w:ascii="Calibri" w:eastAsia="Calibri" w:hAnsi="Calibri" w:cs="Calibri"/>
              </w:rPr>
              <w:t>⑥</w:t>
            </w:r>
          </w:p>
        </w:tc>
      </w:tr>
    </w:tbl>
    <w:p w:rsidR="00C23273" w:rsidRDefault="007D1D4C">
      <w:pPr>
        <w:spacing w:line="360" w:lineRule="auto"/>
      </w:pPr>
      <w:r>
        <w:rPr>
          <w:rFonts w:ascii="宋体" w:hAnsi="宋体"/>
        </w:rPr>
        <w:t>根据表中信息，下列叙述错误的是（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:rsidR="00C23273" w:rsidRDefault="007D1D4C">
      <w:pPr>
        <w:spacing w:line="360" w:lineRule="auto"/>
        <w:jc w:val="left"/>
        <w:textAlignment w:val="center"/>
      </w:pPr>
      <w:r>
        <w:t xml:space="preserve">A. </w:t>
      </w:r>
      <w:r>
        <w:rPr>
          <w:rFonts w:eastAsia="Times New Roman" w:cs="Times New Roman"/>
        </w:rPr>
        <w:t>①</w:t>
      </w:r>
      <w:r>
        <w:rPr>
          <w:rFonts w:ascii="宋体" w:hAnsi="宋体"/>
        </w:rPr>
        <w:t>可以是淀粉或糖原</w:t>
      </w:r>
    </w:p>
    <w:p w:rsidR="00C23273" w:rsidRDefault="007D1D4C">
      <w:pPr>
        <w:spacing w:line="360" w:lineRule="auto"/>
        <w:jc w:val="left"/>
        <w:textAlignment w:val="center"/>
      </w:pPr>
      <w:r>
        <w:t xml:space="preserve">B. </w:t>
      </w:r>
      <w:r>
        <w:rPr>
          <w:rFonts w:eastAsia="Times New Roman" w:cs="Times New Roman"/>
        </w:rPr>
        <w:t>②</w:t>
      </w:r>
      <w:r>
        <w:rPr>
          <w:rFonts w:ascii="宋体" w:hAnsi="宋体"/>
        </w:rPr>
        <w:t>是氨基酸，</w:t>
      </w:r>
      <w:r>
        <w:rPr>
          <w:rFonts w:eastAsia="Times New Roman" w:cs="Times New Roman"/>
        </w:rPr>
        <w:t>③</w:t>
      </w:r>
      <w:r>
        <w:rPr>
          <w:rFonts w:ascii="宋体" w:hAnsi="宋体"/>
        </w:rPr>
        <w:t>是肽键，</w:t>
      </w:r>
      <w:r>
        <w:rPr>
          <w:rFonts w:eastAsia="Times New Roman" w:cs="Times New Roman"/>
        </w:rPr>
        <w:t>⑤</w:t>
      </w:r>
      <w:r>
        <w:rPr>
          <w:rFonts w:ascii="宋体" w:hAnsi="宋体"/>
        </w:rPr>
        <w:t>是碱基</w:t>
      </w:r>
    </w:p>
    <w:p w:rsidR="00C23273" w:rsidRDefault="007D1D4C">
      <w:pPr>
        <w:spacing w:line="360" w:lineRule="auto"/>
        <w:jc w:val="left"/>
        <w:textAlignment w:val="center"/>
      </w:pPr>
      <w:r>
        <w:t xml:space="preserve">C. </w:t>
      </w:r>
      <w:r>
        <w:rPr>
          <w:rFonts w:eastAsia="Times New Roman" w:cs="Times New Roman"/>
        </w:rPr>
        <w:t>②</w:t>
      </w:r>
      <w:r>
        <w:rPr>
          <w:rFonts w:ascii="宋体" w:hAnsi="宋体"/>
        </w:rPr>
        <w:t>和</w:t>
      </w:r>
      <w:r>
        <w:rPr>
          <w:rFonts w:eastAsia="Times New Roman" w:cs="Times New Roman"/>
        </w:rPr>
        <w:t>⑤</w:t>
      </w:r>
      <w:r>
        <w:rPr>
          <w:rFonts w:ascii="宋体" w:hAnsi="宋体"/>
        </w:rPr>
        <w:t>都含有</w:t>
      </w:r>
      <w:r>
        <w:rPr>
          <w:rFonts w:eastAsia="Times New Roman" w:cs="Times New Roman"/>
        </w:rPr>
        <w:t>C</w:t>
      </w:r>
      <w:r>
        <w:rPr>
          <w:rFonts w:ascii="宋体" w:hAnsi="宋体"/>
        </w:rPr>
        <w:t>、</w:t>
      </w:r>
      <w:r>
        <w:rPr>
          <w:rFonts w:eastAsia="Times New Roman" w:cs="Times New Roman"/>
        </w:rPr>
        <w:t>H</w:t>
      </w:r>
      <w:r>
        <w:rPr>
          <w:rFonts w:ascii="宋体" w:hAnsi="宋体"/>
        </w:rPr>
        <w:t>、</w:t>
      </w:r>
      <w:r>
        <w:rPr>
          <w:rFonts w:eastAsia="Times New Roman" w:cs="Times New Roman"/>
        </w:rPr>
        <w:t>O</w:t>
      </w:r>
      <w:r>
        <w:rPr>
          <w:rFonts w:ascii="宋体" w:hAnsi="宋体"/>
        </w:rPr>
        <w:t>、</w:t>
      </w:r>
      <w:r>
        <w:rPr>
          <w:rFonts w:eastAsia="Times New Roman" w:cs="Times New Roman"/>
        </w:rPr>
        <w:t>N</w:t>
      </w:r>
      <w:r>
        <w:rPr>
          <w:rFonts w:ascii="宋体" w:hAnsi="宋体"/>
        </w:rPr>
        <w:t>元素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eastAsia="Times New Roman" w:cs="Times New Roman"/>
        </w:rPr>
        <w:t>④</w:t>
      </w:r>
      <w:r>
        <w:rPr>
          <w:rFonts w:ascii="宋体" w:hAnsi="宋体"/>
        </w:rPr>
        <w:t>可以是双缩脲试剂，</w:t>
      </w:r>
      <w:r>
        <w:rPr>
          <w:rFonts w:eastAsia="Times New Roman" w:cs="Times New Roman"/>
        </w:rPr>
        <w:t>⑥</w:t>
      </w:r>
      <w:r>
        <w:rPr>
          <w:rFonts w:ascii="宋体" w:hAnsi="宋体"/>
        </w:rPr>
        <w:t>可以是甲基绿和吡罗红混合染色剂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植物叶片中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色素对植物的生长发育有重要作用。下列有关叶绿体中色素的叙述，错误的是（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氮元素和镁元素是构成叶绿素分子的重要元素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叶绿素和类胡萝卜素存在于叶绿体中类囊体的薄膜上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用不同波长的光照射类胡萝卜素溶液，其吸收光谱在蓝紫光区有吸收峰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叶绿体中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色素在层析液中的溶解度越高，随层析液在滤纸上扩散得越慢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植物可通过呼吸代谢途径的改变来适应缺氧环境。在无氧条件下，某种植物幼苗的根细胞经呼吸作用释放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的速率随时间的变化趋势如图所示。下列相关叙述错误的是（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257425" cy="1533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在时间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之前，植物根细胞无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释放，只进行无氧呼吸产生乳酸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a~b</w:t>
      </w:r>
      <w:r>
        <w:rPr>
          <w:rFonts w:ascii="宋体" w:hAnsi="宋体"/>
          <w:color w:val="000000"/>
        </w:rPr>
        <w:t>时间内植物根细胞存在经无氧呼吸产生酒精和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的过程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每分子葡萄糖经无氧呼吸产生酒精时生成的</w:t>
      </w:r>
      <w:r>
        <w:rPr>
          <w:rFonts w:eastAsia="Times New Roman" w:cs="Times New Roman"/>
          <w:color w:val="000000"/>
        </w:rPr>
        <w:t>ATP</w:t>
      </w:r>
      <w:r>
        <w:rPr>
          <w:rFonts w:ascii="宋体" w:hAnsi="宋体"/>
          <w:color w:val="000000"/>
        </w:rPr>
        <w:t>比产生乳酸时的多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植物根细胞无氧呼吸产生的酒精跨膜运输的过程不需要消耗</w:t>
      </w:r>
      <w:r>
        <w:rPr>
          <w:rFonts w:eastAsia="Times New Roman" w:cs="Times New Roman"/>
          <w:color w:val="000000"/>
        </w:rPr>
        <w:t>ATP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激素调节是哺乳动物维持正常生命活动的重要调节方式。下列叙述错误的是（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甲状腺分泌甲状腺激素受垂体和下丘脑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调节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细胞外液渗透压下降可促进抗利尿激素的释放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胸腺可分泌胸腺激素，也是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细胞成熟的场所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促甲状腺激素可经血液运输到靶细胞发挥作用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已知某种氨基酸（简称甲）是一种特殊氨基酸，迄今只在某些古菌（古细菌）中发现含有该氨基酸的蛋白质。研究发现这种情况出现的原因是，这些古菌含有特异的能够转运甲的</w:t>
      </w:r>
      <w:r>
        <w:rPr>
          <w:rFonts w:eastAsia="Times New Roman" w:cs="Times New Roman"/>
          <w:color w:val="000000"/>
        </w:rPr>
        <w:t>tRNA</w:t>
      </w:r>
      <w:r>
        <w:rPr>
          <w:rFonts w:ascii="宋体" w:hAnsi="宋体"/>
          <w:color w:val="000000"/>
        </w:rPr>
        <w:t>（表示为</w:t>
      </w:r>
      <w:r>
        <w:rPr>
          <w:rFonts w:eastAsia="Times New Roman" w:cs="Times New Roman"/>
          <w:color w:val="000000"/>
        </w:rPr>
        <w:t>tRNA</w:t>
      </w:r>
      <w:r>
        <w:rPr>
          <w:rFonts w:ascii="宋体" w:hAnsi="宋体"/>
          <w:color w:val="000000"/>
          <w:vertAlign w:val="superscript"/>
        </w:rPr>
        <w:t>甲</w:t>
      </w:r>
      <w:r>
        <w:rPr>
          <w:rFonts w:ascii="宋体" w:hAnsi="宋体"/>
          <w:color w:val="000000"/>
        </w:rPr>
        <w:t>）和酶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，酶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催化甲与</w:t>
      </w:r>
      <w:r>
        <w:rPr>
          <w:rFonts w:eastAsia="Times New Roman" w:cs="Times New Roman"/>
          <w:color w:val="000000"/>
        </w:rPr>
        <w:t>tRNA</w:t>
      </w:r>
      <w:r>
        <w:rPr>
          <w:rFonts w:ascii="宋体" w:hAnsi="宋体"/>
          <w:color w:val="000000"/>
          <w:vertAlign w:val="superscript"/>
        </w:rPr>
        <w:t>甲</w:t>
      </w:r>
      <w:r>
        <w:rPr>
          <w:rFonts w:ascii="宋体" w:hAnsi="宋体"/>
          <w:color w:val="000000"/>
        </w:rPr>
        <w:t>结合生成携带了甲的</w:t>
      </w:r>
      <w:r>
        <w:rPr>
          <w:rFonts w:eastAsia="Times New Roman" w:cs="Times New Roman"/>
          <w:color w:val="000000"/>
        </w:rPr>
        <w:t>tRNA</w:t>
      </w:r>
      <w:r>
        <w:rPr>
          <w:rFonts w:ascii="宋体" w:hAnsi="宋体"/>
          <w:color w:val="000000"/>
          <w:vertAlign w:val="superscript"/>
        </w:rPr>
        <w:t>甲</w:t>
      </w:r>
      <w:r>
        <w:rPr>
          <w:rFonts w:ascii="宋体" w:hAnsi="宋体"/>
          <w:color w:val="000000"/>
        </w:rPr>
        <w:t>（表示为甲－</w:t>
      </w:r>
      <w:r>
        <w:rPr>
          <w:rFonts w:eastAsia="Times New Roman" w:cs="Times New Roman"/>
          <w:color w:val="000000"/>
        </w:rPr>
        <w:t>tRNA</w:t>
      </w:r>
      <w:r>
        <w:rPr>
          <w:rFonts w:ascii="宋体" w:hAnsi="宋体"/>
          <w:color w:val="000000"/>
          <w:vertAlign w:val="superscript"/>
        </w:rPr>
        <w:t>甲</w:t>
      </w:r>
      <w:r>
        <w:rPr>
          <w:rFonts w:ascii="宋体" w:hAnsi="宋体"/>
          <w:color w:val="000000"/>
        </w:rPr>
        <w:t>），进而将甲带入核糖体参与肽链合成。已知</w:t>
      </w:r>
      <w:r>
        <w:rPr>
          <w:rFonts w:eastAsia="Times New Roman" w:cs="Times New Roman"/>
          <w:color w:val="000000"/>
        </w:rPr>
        <w:t>tRNA</w:t>
      </w:r>
      <w:r>
        <w:rPr>
          <w:rFonts w:ascii="宋体" w:hAnsi="宋体"/>
          <w:color w:val="000000"/>
          <w:vertAlign w:val="superscript"/>
        </w:rPr>
        <w:t>甲</w:t>
      </w:r>
      <w:r>
        <w:rPr>
          <w:rFonts w:ascii="宋体" w:hAnsi="宋体"/>
          <w:color w:val="000000"/>
        </w:rPr>
        <w:t>可以识别大肠杆菌</w:t>
      </w:r>
      <w:r>
        <w:rPr>
          <w:rFonts w:eastAsia="Times New Roman" w:cs="Times New Roman"/>
          <w:color w:val="000000"/>
        </w:rPr>
        <w:t>mRNA</w:t>
      </w:r>
      <w:r>
        <w:rPr>
          <w:rFonts w:ascii="宋体" w:hAnsi="宋体"/>
          <w:color w:val="000000"/>
        </w:rPr>
        <w:t>中特定的密码子，从而在其核糖体上参与肽链的合成。若要在大肠杆菌中合成含有甲的肽链，则下列物质或细胞器中必须转入大肠杆菌细胞内的是（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①ATP  ②</w:t>
      </w:r>
      <w:r>
        <w:rPr>
          <w:rFonts w:ascii="宋体" w:hAnsi="宋体"/>
          <w:color w:val="000000"/>
        </w:rPr>
        <w:t>甲</w:t>
      </w:r>
      <w:r>
        <w:rPr>
          <w:rFonts w:eastAsia="Times New Roman" w:cs="Times New Roman"/>
          <w:color w:val="000000"/>
        </w:rPr>
        <w:t xml:space="preserve">  ③RNA</w:t>
      </w:r>
      <w:r>
        <w:rPr>
          <w:rFonts w:ascii="宋体" w:hAnsi="宋体"/>
          <w:color w:val="000000"/>
        </w:rPr>
        <w:t>聚合酶</w:t>
      </w:r>
      <w:r>
        <w:rPr>
          <w:rFonts w:eastAsia="Times New Roman" w:cs="Times New Roman"/>
          <w:color w:val="000000"/>
        </w:rPr>
        <w:t xml:space="preserve">  ④</w:t>
      </w:r>
      <w:r>
        <w:rPr>
          <w:rFonts w:ascii="宋体" w:hAnsi="宋体"/>
          <w:color w:val="000000"/>
        </w:rPr>
        <w:t>古菌的核糖体</w:t>
      </w:r>
      <w:r>
        <w:rPr>
          <w:rFonts w:eastAsia="Times New Roman" w:cs="Times New Roman"/>
          <w:color w:val="000000"/>
        </w:rPr>
        <w:t xml:space="preserve">  ⑤</w:t>
      </w:r>
      <w:r>
        <w:rPr>
          <w:rFonts w:ascii="宋体" w:hAnsi="宋体"/>
          <w:color w:val="000000"/>
        </w:rPr>
        <w:t>酶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的基因</w:t>
      </w:r>
      <w:r>
        <w:rPr>
          <w:rFonts w:eastAsia="Times New Roman" w:cs="Times New Roman"/>
          <w:color w:val="000000"/>
        </w:rPr>
        <w:t xml:space="preserve">  ⑥tRNA</w:t>
      </w:r>
      <w:r>
        <w:rPr>
          <w:rFonts w:ascii="宋体" w:hAnsi="宋体"/>
          <w:color w:val="000000"/>
          <w:vertAlign w:val="superscript"/>
        </w:rPr>
        <w:t>甲</w:t>
      </w:r>
      <w:r>
        <w:rPr>
          <w:rFonts w:ascii="宋体" w:hAnsi="宋体"/>
          <w:color w:val="000000"/>
        </w:rPr>
        <w:t>的基因</w:t>
      </w:r>
    </w:p>
    <w:p w:rsidR="00C23273" w:rsidRDefault="007D1D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②⑤⑥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①②⑤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③④⑥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②④⑤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某种植物的宽叶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窄叶由等位基因</w:t>
      </w:r>
      <w:r>
        <w:rPr>
          <w:rFonts w:eastAsia="Times New Roman" w:cs="Times New Roman"/>
          <w:color w:val="000000"/>
        </w:rPr>
        <w:t>A/a</w:t>
      </w:r>
      <w:r>
        <w:rPr>
          <w:rFonts w:ascii="宋体" w:hAnsi="宋体"/>
          <w:color w:val="000000"/>
        </w:rPr>
        <w:t>控制，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基因控制宽叶性状：高茎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矮茎由等位基因</w:t>
      </w:r>
      <w:r>
        <w:rPr>
          <w:rFonts w:eastAsia="Times New Roman" w:cs="Times New Roman"/>
          <w:color w:val="000000"/>
        </w:rPr>
        <w:t>B/b</w:t>
      </w:r>
      <w:r>
        <w:rPr>
          <w:rFonts w:ascii="宋体" w:hAnsi="宋体"/>
          <w:color w:val="000000"/>
        </w:rPr>
        <w:t>控制，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基因控制高茎性状。这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对等位基因独立遗传。为研究该种植物的基因致死情况，某研究小组进行了两个实验，实验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：宽叶矮茎植株自交，子代中宽叶矮茎∶窄叶矮茎＝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；实验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：窄叶高茎植株自交，子代中窄叶高茎∶窄叶矮茎＝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。下列分析及推理中错误的是（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从实验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可判断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基因纯合致死，从实验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可判断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基因纯合致死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实验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中亲本的基因型为</w:t>
      </w:r>
      <w:r>
        <w:rPr>
          <w:rFonts w:eastAsia="Times New Roman" w:cs="Times New Roman"/>
          <w:color w:val="000000"/>
        </w:rPr>
        <w:t>Aabb</w:t>
      </w:r>
      <w:r>
        <w:rPr>
          <w:rFonts w:ascii="宋体" w:hAnsi="宋体"/>
          <w:color w:val="000000"/>
        </w:rPr>
        <w:t>，子代中宽叶矮茎的基因型也为</w:t>
      </w:r>
      <w:r>
        <w:rPr>
          <w:rFonts w:eastAsia="Times New Roman" w:cs="Times New Roman"/>
          <w:color w:val="000000"/>
        </w:rPr>
        <w:t>Aabb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若发现该种植物中的某个植株表现为宽叶高茎，则其基因型为</w:t>
      </w:r>
      <w:r>
        <w:rPr>
          <w:rFonts w:eastAsia="Times New Roman" w:cs="Times New Roman"/>
          <w:color w:val="000000"/>
        </w:rPr>
        <w:t>AaBb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将宽叶高茎植株进行自交，所获得子代植株中纯合子所占比例为</w:t>
      </w:r>
      <w:r>
        <w:rPr>
          <w:rFonts w:eastAsia="Times New Roman" w:cs="Times New Roman"/>
          <w:color w:val="000000"/>
        </w:rPr>
        <w:t>1/4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植物的气孔由叶表皮上两个具有特定结构的保卫细胞构成。保卫细胞吸水体积膨大时气孔打开，反之关闭，保卫细胞含有叶绿体，在光下可进行光合作用。已知蓝光可作为一种信号促进保卫细胞逆浓度梯度吸收</w:t>
      </w:r>
      <w:r>
        <w:rPr>
          <w:rFonts w:eastAsia="Times New Roman" w:cs="Times New Roman"/>
          <w:color w:val="000000"/>
        </w:rPr>
        <w:t>K⁺</w:t>
      </w:r>
      <w:r>
        <w:rPr>
          <w:rFonts w:ascii="宋体" w:hAnsi="宋体"/>
          <w:color w:val="000000"/>
        </w:rPr>
        <w:t>．有研究发现，用饱和红光（只用红光照射时，植物达到最大光合速率所需的红光强度）照射某植物叶片时，气孔开度可达最大开度的</w:t>
      </w:r>
      <w:r>
        <w:rPr>
          <w:rFonts w:eastAsia="Times New Roman" w:cs="Times New Roman"/>
          <w:color w:val="000000"/>
        </w:rPr>
        <w:t>60%</w:t>
      </w:r>
      <w:r>
        <w:rPr>
          <w:rFonts w:ascii="宋体" w:hAnsi="宋体"/>
          <w:color w:val="000000"/>
        </w:rPr>
        <w:t>左右。回答下列问题。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气孔的开闭会影响植物叶片的蒸腾作用、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点即可）等生理过程。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红光可通过光合作用促进气孔开放，其原因是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某研究小组发现在饱和红光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基础上补加蓝光照射叶片，气孔开度可进一步增大，因此他们认为气孔开度进一步增大的原因是，蓝光促进保卫细胞逆浓度梯度吸收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  <w:vertAlign w:val="superscript"/>
        </w:rPr>
        <w:t>＋</w:t>
      </w:r>
      <w:r>
        <w:rPr>
          <w:rFonts w:ascii="宋体" w:hAnsi="宋体"/>
          <w:color w:val="000000"/>
        </w:rPr>
        <w:t>。请推测该研究小组得出这一结论的依据是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已知某种除草剂能阻断光合作用的光反应，用该除草剂处理的叶片在阳光照射下气孔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（填“能”或“不能”）维持一定的开度。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人体心脏和肾上腺所受神经支配的方式如图所示。回答下列问题。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162300" cy="3114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神经元未兴奋时，神经元细胞膜两侧可测得静息电位。静息电位产生和维持的主要原因是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当动脉血压降低时，压力感受器将信息由传入神经传到神经中枢，通过通路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和通路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使心跳加快。在上述反射活动中，效应器有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。通路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中，神经末梢释放的可作用于效应器并使其兴奋的神经递质是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经过通路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调节心血管活动的调节方式有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农田生态系统和森林生态系统属于不同类型的生态系统。回答下列问题。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某农田生态系统中有玉米、蛇、蝗虫、野兔、青蛙和鹰等生物，请从中选择生物，写出一条具有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个营养级的食物链：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负反馈调节是生态系统自我调节能力的基础。请从负反馈调节的角度分析，森林中害虫种群数量没有不断增加的原因是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从生态系统稳定性的角度来看，一般来说，森林生态系统的抵抗力稳定性高于农田生态系统，原因是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某种观赏植物的花色有红色和白色两种。花色主要是由花瓣中所含色素种类决定的，红色色素是由白色底物经两步连续的酶促反应形成的，第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步由酶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催化，第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步由酶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催化，其中酶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的合成由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基因控制，酶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的合成由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基因控制。现有甲、乙两个不同的白花纯合子，某研究小组分别取甲、乙的花瓣在缓冲液中研磨，得到了甲、乙花瓣的细胞研磨液，并用这些研磨液进行不同的实验。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实验一：探究白花性状是由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基因单独突变还是共同突变引起的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lastRenderedPageBreak/>
        <w:t>①</w:t>
      </w:r>
      <w:r>
        <w:rPr>
          <w:rFonts w:ascii="宋体" w:hAnsi="宋体"/>
          <w:color w:val="000000"/>
        </w:rPr>
        <w:t>取甲、乙的细胞研磨液在室温下静置后发现均无颜色变化。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在室温下将两种细胞研磨液充分混合，混合液变成红色。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将两种细胞研磨液先加热煮沸，冷却后再混合，混合液颜色无变化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实验二：确定甲和乙植株的基因型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将甲的细胞研磨液煮沸，冷却后与乙的细胞研磨液混合，发现混合液变成了红色。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酶在细胞代谢中发挥重要作用，与无机催化剂相比，酶所具有的特性是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点即可）；煮沸会使细胞研磨液中的酶失去催化作用，其原因是高温破坏了酶的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实验一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中，两种细胞研磨液混合后变成了红色，推测可能的原因是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根据实验二的结果可以推断甲的基因型是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，乙的基因型是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；若只将乙的细胞研磨液煮沸，冷却后与甲的细胞研磨液混合，则混合液呈现的颜色是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（二）选考题：共</w:t>
      </w:r>
      <w:r>
        <w:rPr>
          <w:rFonts w:eastAsia="Times New Roman" w:cs="Times New Roman"/>
          <w:b/>
          <w:color w:val="000000"/>
          <w:sz w:val="24"/>
        </w:rPr>
        <w:t>45</w:t>
      </w:r>
      <w:r>
        <w:rPr>
          <w:rFonts w:ascii="宋体" w:hAnsi="宋体"/>
          <w:b/>
          <w:color w:val="000000"/>
          <w:sz w:val="24"/>
        </w:rPr>
        <w:t>分。请考生从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道物理题、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道化学题、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道生物题中每科任选一题作答。如果多做，则每科按所做的第一题计分。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【生物</w:t>
      </w:r>
      <w:r>
        <w:rPr>
          <w:rFonts w:eastAsia="Times New Roman" w:cs="Times New Roman"/>
          <w:b/>
          <w:color w:val="000000"/>
          <w:sz w:val="24"/>
        </w:rPr>
        <w:t>——</w:t>
      </w:r>
      <w:r>
        <w:rPr>
          <w:rFonts w:ascii="宋体" w:hAnsi="宋体"/>
          <w:b/>
          <w:color w:val="000000"/>
          <w:sz w:val="24"/>
        </w:rPr>
        <w:t>选修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：生物技术实践】（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某研究小组设计了一个利用作物秸秆生产燃料乙醇的小型实验。其主要步骤是：先将粉碎的作物秸秆堆放在底部有小孔的托盘中，喷水浸润、接种菌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，培养一段时间后，再用清水淋洗秸秆堆（清水淋洗时菌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不会流失），在装有淋洗液的瓶中接种酵母菌，进行乙醇发酵（酒精发酵）。实验流程如图所示。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029075" cy="1495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在粉碎的秸秆中接种菌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，培养一段时间后发现菌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能够将秸秆中的纤维素大量分解，其原因是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采用液体培养基培养酵母菌，可以用淋洗液为原料制备培养基，培养基中还需要加入氮源等营养成分，氮源的主要作用是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点即可）。通常，可采用高压蒸汽灭菌法对培养基进行灭菌。在使用该方法时，为了达到良好的灭菌效果，需要注意的事项有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点即可）。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将酵母菌接种到灭菌后的培养基中，拧紧瓶盖，置于适宜温度下培养、发酵。拧紧瓶盖的主要目的是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。但是在酵母菌发酵过程中，还需适时拧松瓶盖，原因是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。发酵液中的乙醇可用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溶液检测。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本实验收集的淋洗液中的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可以作为酵母菌生产乙醇的原料。与以粮食为原料发酵生产乙醇相比，本实验中乙醇生产方式的优点是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【生物</w:t>
      </w:r>
      <w:r>
        <w:rPr>
          <w:rFonts w:eastAsia="Times New Roman" w:cs="Times New Roman"/>
          <w:b/>
          <w:color w:val="000000"/>
          <w:sz w:val="24"/>
        </w:rPr>
        <w:t>——</w:t>
      </w:r>
      <w:r>
        <w:rPr>
          <w:rFonts w:ascii="宋体" w:hAnsi="宋体"/>
          <w:b/>
          <w:color w:val="000000"/>
          <w:sz w:val="24"/>
        </w:rPr>
        <w:t>选修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：现代生物科技专题】（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是水母体内存在的能发绿色荧光的一种蛋白。科研人员以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基因为材料，利用基因工程技术获得了能发其他颜色荧光的蛋白，丰富了荧光蛋白的颜色种类。回答下列问题。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构建突变基因文库，科研人员将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基因的不同突变基因分别插入载体，并转入大肠杆菌制备出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基因的突变基因文库。通常，基因文库是指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构建目的基因表达载体。科研人员从构建的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突变基因文库中提取目的基因（均为突变基因）构建表达载体，其模式图如下所示（箭头为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突变基因的转录方向）。图中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，其作用是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；图中氨苄青霉素抗性基因是一种标记基因，其作用是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C23273" w:rsidRDefault="007D1D4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648075" cy="2143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目的基因的表达。科研人员将构建好的表达载体导入大肠杆菌中进行表达，发现大肠杆菌有的发绿色荧光，有的发黄色荧光，有的不发荧光。请从密码子特点的角度分析，发绿色荧光的可能原因是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</w:t>
      </w:r>
    </w:p>
    <w:p w:rsidR="00C23273" w:rsidRDefault="007D1D4C">
      <w:pPr>
        <w:spacing w:line="360" w:lineRule="auto"/>
        <w:jc w:val="left"/>
        <w:textAlignment w:val="center"/>
        <w:rPr>
          <w:color w:val="000000"/>
        </w:rPr>
        <w:sectPr w:rsidR="00C23273">
          <w:footerReference w:type="default" r:id="rId14"/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新蛋白与突变基因的关联性分析。将上述发黄色荧光的大肠杆菌分离纯化后，对其所含的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突变基因进行测序，发现其碱基序列与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基因的不同，将该</w:t>
      </w:r>
      <w:r>
        <w:rPr>
          <w:rFonts w:eastAsia="Times New Roman" w:cs="Times New Roman"/>
          <w:color w:val="000000"/>
        </w:rPr>
        <w:t>GFP</w:t>
      </w:r>
      <w:r>
        <w:rPr>
          <w:rFonts w:ascii="宋体" w:hAnsi="宋体"/>
          <w:color w:val="000000"/>
        </w:rPr>
        <w:t>突变基因命名为</w:t>
      </w:r>
      <w:r>
        <w:rPr>
          <w:rFonts w:eastAsia="Times New Roman" w:cs="Times New Roman"/>
          <w:color w:val="000000"/>
        </w:rPr>
        <w:t>YFP</w:t>
      </w:r>
      <w:r>
        <w:rPr>
          <w:rFonts w:ascii="宋体" w:hAnsi="宋体"/>
          <w:color w:val="000000"/>
        </w:rPr>
        <w:t>基因（黄色荧光蛋白基因）。若要通过基因工程的方法探究</w:t>
      </w:r>
      <w:r>
        <w:rPr>
          <w:rFonts w:eastAsia="Times New Roman" w:cs="Times New Roman"/>
          <w:color w:val="000000"/>
        </w:rPr>
        <w:t>YFP</w:t>
      </w:r>
      <w:r>
        <w:rPr>
          <w:rFonts w:ascii="宋体" w:hAnsi="宋体"/>
          <w:color w:val="000000"/>
        </w:rPr>
        <w:t>基因能否在真核细胞中表达，实验思路是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  <w:r w:rsidR="00652FD1">
        <w:rPr>
          <w:rFonts w:ascii="宋体" w:hAnsi="宋体"/>
          <w:color w:val="000000"/>
        </w:rPr>
        <w:t xml:space="preserve"> </w:t>
      </w:r>
    </w:p>
    <w:p w:rsidR="00C23273" w:rsidRDefault="00C23273">
      <w:bookmarkStart w:id="0" w:name="_GoBack"/>
      <w:bookmarkEnd w:id="0"/>
    </w:p>
    <w:sectPr w:rsidR="00C23273" w:rsidSect="00C23273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273" w:rsidRDefault="00C23273" w:rsidP="00C23273">
      <w:r>
        <w:separator/>
      </w:r>
    </w:p>
  </w:endnote>
  <w:endnote w:type="continuationSeparator" w:id="0">
    <w:p w:rsidR="00C23273" w:rsidRDefault="00C23273" w:rsidP="00C23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D1" w:rsidRPr="00652FD1" w:rsidRDefault="00652FD1" w:rsidP="00652FD1">
    <w:pPr>
      <w:pStyle w:val="a3"/>
      <w:jc w:val="center"/>
      <w:rPr>
        <w:rFonts w:ascii="MS Sans Serif" w:hAnsi="MS Sans Serif"/>
        <w:sz w:val="19"/>
      </w:rPr>
    </w:pPr>
    <w:r w:rsidRPr="00652FD1">
      <w:rPr>
        <w:rFonts w:ascii="MS Sans Serif" w:hAnsi="MS Sans Serif" w:hint="eastAsia"/>
        <w:sz w:val="19"/>
      </w:rPr>
      <w:t>第一试卷网</w:t>
    </w:r>
    <w:r w:rsidRPr="00652FD1">
      <w:rPr>
        <w:rFonts w:ascii="MS Sans Serif" w:hAnsi="MS Sans Serif" w:hint="eastAsia"/>
        <w:sz w:val="19"/>
      </w:rPr>
      <w:t xml:space="preserve">    Shijuan1.Com    </w:t>
    </w:r>
    <w:r w:rsidRPr="00652FD1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273" w:rsidRDefault="00C23273" w:rsidP="00C23273">
      <w:r>
        <w:separator/>
      </w:r>
    </w:p>
  </w:footnote>
  <w:footnote w:type="continuationSeparator" w:id="0">
    <w:p w:rsidR="00C23273" w:rsidRDefault="00C23273" w:rsidP="00C232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NlYzllZGVlN2QyNTYwNTRkNjMwMGE5MDQzZDI4ZGI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2FD1"/>
    <w:rsid w:val="006D5DE9"/>
    <w:rsid w:val="006F45E0"/>
    <w:rsid w:val="00701D6B"/>
    <w:rsid w:val="007061B2"/>
    <w:rsid w:val="00740A09"/>
    <w:rsid w:val="00762E26"/>
    <w:rsid w:val="00767F31"/>
    <w:rsid w:val="007D1D4C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23273"/>
    <w:rsid w:val="00C321EB"/>
    <w:rsid w:val="00CA4A07"/>
    <w:rsid w:val="00D51257"/>
    <w:rsid w:val="00D634C2"/>
    <w:rsid w:val="00D756B6"/>
    <w:rsid w:val="00D77F6E"/>
    <w:rsid w:val="00DA0796"/>
    <w:rsid w:val="00DA5448"/>
    <w:rsid w:val="00DE298F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55D28A0"/>
    <w:rsid w:val="29A22020"/>
    <w:rsid w:val="38274566"/>
    <w:rsid w:val="4798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32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2327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C23273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C23273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sid w:val="00C23273"/>
    <w:rPr>
      <w:kern w:val="2"/>
      <w:sz w:val="18"/>
      <w:szCs w:val="24"/>
    </w:rPr>
  </w:style>
  <w:style w:type="paragraph" w:styleId="a6">
    <w:name w:val="No Spacing"/>
    <w:uiPriority w:val="1"/>
    <w:qFormat/>
    <w:rsid w:val="00C23273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C23273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7D1D4C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7D1D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B2984-AFD3-46C9-AED1-F0A3B91AB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1946</Words>
  <Characters>2123</Characters>
  <Application>Microsoft Office Word</Application>
  <DocSecurity>0</DocSecurity>
  <Lines>73</Lines>
  <Paragraphs>86</Paragraphs>
  <ScaleCrop>false</ScaleCrop>
  <Manager/>
  <Company>http://www.shijuan1.com</Company>
  <LinksUpToDate>false</LinksUpToDate>
  <CharactersWithSpaces>3983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10</cp:revision>
  <dcterms:created xsi:type="dcterms:W3CDTF">2023-06-09T19:45:00Z</dcterms:created>
  <dcterms:modified xsi:type="dcterms:W3CDTF">2023-07-23T00:15:00Z</dcterms:modified>
  <cp:category/>
</cp:coreProperties>
</file>