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352F01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12446000</wp:posOffset>
            </wp:positionV>
            <wp:extent cx="279400" cy="419100"/>
            <wp:effectExtent l="0" t="0" r="635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年湖南省长沙市中考生物试卷</w:t>
      </w:r>
    </w:p>
    <w:p w14:paraId="330F5289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一、单项选择题（每小题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分）</w:t>
      </w:r>
    </w:p>
    <w:p w14:paraId="42BA8E5C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中国植物园的图标由银杏和水杉组成，如图所示。银杏和水杉都属于（　　）</w:t>
      </w:r>
    </w:p>
    <w:p w14:paraId="489593BC">
      <w:pPr>
        <w:spacing w:line="360" w:lineRule="auto"/>
        <w:jc w:val="left"/>
        <w:textAlignment w:val="center"/>
      </w:pPr>
      <w:r>
        <w:rPr>
          <w:rFonts w:hint="eastAsia"/>
        </w:rPr>
        <w:drawing>
          <wp:inline distT="0" distB="0" distL="114300" distR="114300">
            <wp:extent cx="1247775" cy="12573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3634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苔藓植物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蕨类植物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裸子植物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被子植物</w:t>
      </w:r>
    </w:p>
    <w:p w14:paraId="3376A8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谚语“清明雨水多，竹笋满山坡”中，促进竹笋生长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生态因素是（　　）</w:t>
      </w:r>
    </w:p>
    <w:p w14:paraId="386F560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阳光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空气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水分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温度</w:t>
      </w:r>
    </w:p>
    <w:p w14:paraId="621443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某种植物可以通过输导组织向叶片输送有毒物质防止昆虫啃食。龟甲（一种昆虫）能巧妙选择食用部位，避免因毒液流出而中毒。据此推测，龟甲在取食时没有破坏的结构是（　　）</w:t>
      </w:r>
    </w:p>
    <w:p w14:paraId="3099C3D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叶肉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叶脉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上表皮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下表皮</w:t>
      </w:r>
    </w:p>
    <w:p w14:paraId="0B5C66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芦根是芦苇的根，可制成中药，具有清热生津的作用。芦根所属的结构层次是（　　）</w:t>
      </w:r>
    </w:p>
    <w:p w14:paraId="2724CC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器官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植物体</w:t>
      </w:r>
    </w:p>
    <w:p w14:paraId="3C7AA2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春季植树时，移栽的树苗被剪去大量的枝叶，这样能提高移栽成活率的原因是（　　）</w:t>
      </w:r>
    </w:p>
    <w:p w14:paraId="712B20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降低了叶片的光合作用</w:t>
      </w:r>
    </w:p>
    <w:p w14:paraId="4F017F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降低了叶片的蒸腾作用</w:t>
      </w:r>
    </w:p>
    <w:p w14:paraId="5D3A9B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促进了植物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呼吸作用</w:t>
      </w:r>
    </w:p>
    <w:p w14:paraId="33D519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促进了水和无机盐的吸收</w:t>
      </w:r>
    </w:p>
    <w:p w14:paraId="535DE1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截至</w:t>
      </w:r>
      <w:r>
        <w:rPr>
          <w:rFonts w:eastAsia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年底，中国西南野生生物种质资源库已保存野生植物种子</w:t>
      </w:r>
      <w:r>
        <w:rPr>
          <w:rFonts w:eastAsia="Times New Roman" w:cs="Times New Roman"/>
          <w:color w:val="000000"/>
        </w:rPr>
        <w:t>10601</w:t>
      </w:r>
      <w:r>
        <w:rPr>
          <w:rFonts w:ascii="宋体" w:hAnsi="宋体"/>
          <w:color w:val="000000"/>
        </w:rPr>
        <w:t>种。要长期保存种子，种质资源库应保持（　　）</w:t>
      </w:r>
    </w:p>
    <w:p w14:paraId="37C57F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温暖潮湿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低温潮湿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温暖干燥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低温干燥</w:t>
      </w:r>
    </w:p>
    <w:p w14:paraId="6D484C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青春期是生长发育发生重要变化的时期。下列青少年行为习惯不健康的是（　　）</w:t>
      </w:r>
    </w:p>
    <w:p w14:paraId="3F5A518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腰背挺直、坐姿端正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规律进餐、足量饮水</w:t>
      </w:r>
    </w:p>
    <w:p w14:paraId="446C467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劳逸结合、睡眠充足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躺卧看书、直视强光</w:t>
      </w:r>
    </w:p>
    <w:p w14:paraId="17E54F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端午佳节，家人团聚包粽子。下列包粽子的原材料中富含淀粉的是（　　）</w:t>
      </w:r>
    </w:p>
    <w:p w14:paraId="19C7C3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糯米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食盐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咸蛋黄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五花肉</w:t>
      </w:r>
    </w:p>
    <w:p w14:paraId="30D7B5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某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型血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幼儿因病需要大量输血，根据输血原则，他输入血液的血型应是（　　）</w:t>
      </w:r>
    </w:p>
    <w:p w14:paraId="7B6269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型血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型血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型血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型血</w:t>
      </w:r>
    </w:p>
    <w:p w14:paraId="7F14FD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如图是显微镜下小鱼尾鳍内毛细血管的血液流动情况。要观察与图中毛细血管相连的小动脉，恰当的操作是（　　）</w:t>
      </w:r>
    </w:p>
    <w:p w14:paraId="350B2D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933450" cy="9239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38067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换用高倍目镜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调节细准焦螺旋</w:t>
      </w:r>
    </w:p>
    <w:p w14:paraId="439B1C1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换用较大的光圈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向右下移动培养皿</w:t>
      </w:r>
    </w:p>
    <w:p w14:paraId="3E0B80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尿毒症患者不能正常形成尿液，病情严重时会危及生命，需进行器官移植。患者需移植的器官是（　　）</w:t>
      </w:r>
    </w:p>
    <w:p w14:paraId="5937CCA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肾脏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心脏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肝脏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皮肤</w:t>
      </w:r>
    </w:p>
    <w:p w14:paraId="664749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在冬奥会滑雪比赛中，运动员协调运动、维持身体平衡的结构是（　　）</w:t>
      </w:r>
    </w:p>
    <w:p w14:paraId="124577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大脑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脑干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小脑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脊髓</w:t>
      </w:r>
    </w:p>
    <w:p w14:paraId="5C7C7E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国画大师用画笔将虾的姿态活灵活现地呈现出来，如图所示。根据所学知识完成下面小题：</w:t>
      </w:r>
    </w:p>
    <w:p w14:paraId="59DC9B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04950" cy="15335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95B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13. 依据国画中虾的身体和附肢的特征，判断虾属于（　　）</w:t>
      </w:r>
    </w:p>
    <w:p w14:paraId="57CF2B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腔肠动物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节肢动物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软体动物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线形动物</w:t>
      </w:r>
    </w:p>
    <w:p w14:paraId="685071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14. 图中所指附肢的主要功能是（　　）</w:t>
      </w:r>
    </w:p>
    <w:p w14:paraId="388366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呼吸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取食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步行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游泳</w:t>
      </w:r>
    </w:p>
    <w:p w14:paraId="44D638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“候鸟的欢歌、麋鹿的倩影、江豚的微笑”展示出洞庭湖生态保护区的勃勃生机。其中的麋鹿和江豚为哺乳动物，它们与候鸟的区别是（　　）</w:t>
      </w:r>
    </w:p>
    <w:p w14:paraId="639257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体内有脊柱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体温恒定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胎生哺乳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用肺呼吸</w:t>
      </w:r>
    </w:p>
    <w:p w14:paraId="6783C8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宇航员在太空中长期工作会导致运动机能下降（主要影响收缩功能）。中国空间站上的宇航员坚持锻炼身体，目的是防止（　　）</w:t>
      </w:r>
    </w:p>
    <w:p w14:paraId="460880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肌肉萎缩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关节脱臼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骨裂骨折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韧带拉伤</w:t>
      </w:r>
    </w:p>
    <w:p w14:paraId="42159C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人们通过科学引入瓢虫控制蚜虫的数量，减轻了蚜虫对作物的危害。这体现了动物能（　　）</w:t>
      </w:r>
    </w:p>
    <w:p w14:paraId="55FEE1A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维持生态平衡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促进物质循环</w:t>
      </w:r>
    </w:p>
    <w:p w14:paraId="219F8E3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帮助植物传粉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帮助传播种子</w:t>
      </w:r>
    </w:p>
    <w:p w14:paraId="5A236C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如图装置中气球会变大，瓶中有酒味。瓶中加入的微生物是（　　）</w:t>
      </w:r>
    </w:p>
    <w:p w14:paraId="05C06A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981075" cy="84772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04DB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乳酸菌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酵母菌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醋酸菌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甲烷菌</w:t>
      </w:r>
    </w:p>
    <w:p w14:paraId="007FDE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爬行动物和鸟类都在陆地上产卵。它们卵的下列结构中具有保护作用并能减少水分丢失的是（　　）</w:t>
      </w:r>
    </w:p>
    <w:p w14:paraId="4C543F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卵壳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卵白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卵黄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气孔</w:t>
      </w:r>
    </w:p>
    <w:p w14:paraId="5B1DDD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“剪茎作种，今岁一茎，次年便可种数百亩”是明代《农政全书》中记载的甘薯种植方法。利用甘薯的茎繁殖的技术是（　　）</w:t>
      </w:r>
    </w:p>
    <w:p w14:paraId="2D95DB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杂交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扦插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嫁接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组织培养</w:t>
      </w:r>
    </w:p>
    <w:p w14:paraId="77BD31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在观察记录的动物行为中，属于学习行为的是（　　）</w:t>
      </w:r>
    </w:p>
    <w:p w14:paraId="4CCC81C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家蚕结茧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蜘蛛结网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蜻蜓点水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鹦鹉学舌</w:t>
      </w:r>
    </w:p>
    <w:p w14:paraId="7C32C1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在公共场所遇到有人突然晕倒时，立即拨打</w:t>
      </w:r>
      <w:r>
        <w:rPr>
          <w:rFonts w:eastAsia="Times New Roman" w:cs="Times New Roman"/>
          <w:color w:val="000000"/>
        </w:rPr>
        <w:t>120</w:t>
      </w:r>
      <w:r>
        <w:rPr>
          <w:rFonts w:ascii="宋体" w:hAnsi="宋体"/>
          <w:color w:val="000000"/>
        </w:rPr>
        <w:t>急救电话。不需要告知急救中心的是（　　）</w:t>
      </w:r>
    </w:p>
    <w:p w14:paraId="0AED8B6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事发地点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联系方式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基本症状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家庭情况</w:t>
      </w:r>
    </w:p>
    <w:p w14:paraId="522CA8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我国医疗专项集采大大降低了患者的治疗成本。其中胰岛素专项集采的受益人群是（　　）</w:t>
      </w:r>
    </w:p>
    <w:p w14:paraId="0C1FDB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糖尿病患者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侏儒症患者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白血病患者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肺癌患者</w:t>
      </w:r>
    </w:p>
    <w:p w14:paraId="62D0D5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北京周口店遗址是亚洲大陆远古时期人类发展历史的重要遗存。下列证据能说明北京猿人具有较发达大脑的是（　　）</w:t>
      </w:r>
    </w:p>
    <w:p w14:paraId="41DA338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分化的牙齿化石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较为宽阔的髋骨化石</w:t>
      </w:r>
    </w:p>
    <w:p w14:paraId="73697F4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粗壮的下肢骨化石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脑容量大的头盖骨化石</w:t>
      </w:r>
    </w:p>
    <w:p w14:paraId="56D4F2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“三分治疗，七分护理”。在白衣天使的日常工作中，属于关注病人心理健康的是（　　）</w:t>
      </w:r>
    </w:p>
    <w:p w14:paraId="3A51C0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处理伤口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安抚情绪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更换药物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监测血压</w:t>
      </w:r>
    </w:p>
    <w:p w14:paraId="3B381959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二、识图作答题（每小题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分）</w:t>
      </w:r>
    </w:p>
    <w:p w14:paraId="449F18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如图分别为人的神经元和细菌模式图，据图回答：</w:t>
      </w:r>
    </w:p>
    <w:p w14:paraId="5CFCE4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271905"/>
            <wp:effectExtent l="0" t="0" r="0" b="444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71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A40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（1）由图判断，人和细菌中属于原核生物的是_____，理由是_____。</w:t>
      </w:r>
    </w:p>
    <w:p w14:paraId="5815D9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（2）两种细胞都具有结构①和③，其中①是_____（填细胞结构），能控制物质进出；两种细胞都没有_____（填细胞结构），只能利用现成的有机物生活。</w:t>
      </w:r>
    </w:p>
    <w:p w14:paraId="1F83E7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（3）图中传出信息（传导神经冲动）的结构是_____（填序号）。</w:t>
      </w:r>
    </w:p>
    <w:p w14:paraId="16B9AA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甲、乙分别为膈肌的运动、肺泡与血液之间的气体交换示意图，据图回答：</w:t>
      </w:r>
    </w:p>
    <w:p w14:paraId="08BA16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095750" cy="169545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24E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（1）图甲中的①是_____（填器官名称），是呼吸系统的主要器官。图甲中的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是_____（填气体名称），该气体扩散进入血液后与红细胞结合。</w:t>
      </w:r>
    </w:p>
    <w:p w14:paraId="40A650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（2）图甲所示膈肌收缩时，人体处于_____状态（填“吸气”或“呼气”），此时图乙中肺泡内的气体压力_____外界气压（填“高于”“等于”或“低于”）。</w:t>
      </w:r>
    </w:p>
    <w:p w14:paraId="0C88DB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（3）下列运动中，相同时间内需要能量最少的可能是_____（填运动名称）。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561"/>
        <w:gridCol w:w="1103"/>
        <w:gridCol w:w="1103"/>
        <w:gridCol w:w="1103"/>
        <w:gridCol w:w="1455"/>
      </w:tblGrid>
      <w:tr w14:paraId="340B2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28779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运动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FA97C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慢跑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04A60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游泳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3EA07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散步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E9C32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打篮球</w:t>
            </w:r>
          </w:p>
        </w:tc>
      </w:tr>
      <w:tr w14:paraId="3D040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24F3A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每小时耗氧量（升）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19BC5F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5ECB45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2B6429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B33355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90</w:t>
            </w:r>
          </w:p>
        </w:tc>
      </w:tr>
    </w:tbl>
    <w:p w14:paraId="34A4F389">
      <w:pPr>
        <w:spacing w:line="360" w:lineRule="auto"/>
        <w:jc w:val="left"/>
        <w:textAlignment w:val="center"/>
        <w:rPr>
          <w:color w:val="000000"/>
        </w:rPr>
      </w:pPr>
    </w:p>
    <w:p w14:paraId="7AB813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如图为花的部分结构与有性生殖图解，请写出标号所代表的内容：</w:t>
      </w:r>
    </w:p>
    <w:p w14:paraId="2E0AF6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30680"/>
            <wp:effectExtent l="0" t="0" r="0" b="762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31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0E5721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；②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；③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；④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；⑤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77B8748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三、探究实践题（每小题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分）</w:t>
      </w:r>
    </w:p>
    <w:p w14:paraId="418505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龋齿是指在细菌的作用下，牙齿发生的慢性病变。为了改善儿童的牙齿健康，某地研究机构抽取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所学校的</w:t>
      </w:r>
      <w:r>
        <w:rPr>
          <w:rFonts w:eastAsia="Times New Roman" w:cs="Times New Roman"/>
          <w:color w:val="000000"/>
        </w:rPr>
        <w:t>900</w:t>
      </w:r>
      <w:r>
        <w:rPr>
          <w:rFonts w:ascii="宋体" w:hAnsi="宋体"/>
          <w:color w:val="000000"/>
        </w:rPr>
        <w:t>位学生作为研究对象，统计龋齿情况以及行为习惯。具体数据如下表：</w:t>
      </w:r>
    </w:p>
    <w:tbl>
      <w:tblPr>
        <w:tblStyle w:val="5"/>
        <w:tblW w:w="19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00"/>
        <w:gridCol w:w="1983"/>
        <w:gridCol w:w="1983"/>
        <w:gridCol w:w="1983"/>
        <w:gridCol w:w="1983"/>
        <w:gridCol w:w="2949"/>
        <w:gridCol w:w="2949"/>
        <w:gridCol w:w="2940"/>
      </w:tblGrid>
      <w:tr w14:paraId="016D2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6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8F48D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71600" cy="619125"/>
                  <wp:effectExtent l="0" t="0" r="0" b="9525"/>
                  <wp:docPr id="100010" name="图片 100010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0" name="图片 100010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FB1F1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咬手指、睡前进食等行为</w:t>
            </w:r>
          </w:p>
        </w:tc>
        <w:tc>
          <w:tcPr>
            <w:tcW w:w="42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0D8E9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食用碳酸饮料及甜品</w:t>
            </w:r>
          </w:p>
        </w:tc>
        <w:tc>
          <w:tcPr>
            <w:tcW w:w="958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F10E2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刷牙频率（次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天）</w:t>
            </w:r>
          </w:p>
        </w:tc>
      </w:tr>
      <w:tr w14:paraId="42B21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73957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FE243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919E1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F1121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经常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12CC6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偶尔</w:t>
            </w:r>
          </w:p>
        </w:tc>
        <w:tc>
          <w:tcPr>
            <w:tcW w:w="3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7187C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次</w:t>
            </w:r>
          </w:p>
        </w:tc>
        <w:tc>
          <w:tcPr>
            <w:tcW w:w="3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BBAE2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次</w:t>
            </w:r>
          </w:p>
        </w:tc>
        <w:tc>
          <w:tcPr>
            <w:tcW w:w="3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E0FF3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不刷</w:t>
            </w:r>
          </w:p>
        </w:tc>
      </w:tr>
      <w:tr w14:paraId="4D6E0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B647A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有龋齿（</w:t>
            </w:r>
            <w:r>
              <w:rPr>
                <w:rFonts w:eastAsia="Times New Roman" w:cs="Times New Roman"/>
                <w:color w:val="000000"/>
              </w:rPr>
              <w:t>600</w:t>
            </w:r>
            <w:r>
              <w:rPr>
                <w:rFonts w:ascii="宋体" w:hAnsi="宋体"/>
                <w:color w:val="000000"/>
              </w:rPr>
              <w:t>人）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D695DC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361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86B120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239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1663BD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415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722176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185</w:t>
            </w:r>
          </w:p>
        </w:tc>
        <w:tc>
          <w:tcPr>
            <w:tcW w:w="3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B98495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63</w:t>
            </w:r>
          </w:p>
        </w:tc>
        <w:tc>
          <w:tcPr>
            <w:tcW w:w="3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8C9A79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489</w:t>
            </w:r>
          </w:p>
        </w:tc>
        <w:tc>
          <w:tcPr>
            <w:tcW w:w="3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66FE98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48</w:t>
            </w:r>
          </w:p>
        </w:tc>
      </w:tr>
      <w:tr w14:paraId="620A7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42BC6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无龋齿（</w:t>
            </w:r>
            <w:r>
              <w:rPr>
                <w:rFonts w:eastAsia="Times New Roman" w:cs="Times New Roman"/>
                <w:color w:val="000000"/>
              </w:rPr>
              <w:t>300</w:t>
            </w:r>
            <w:r>
              <w:rPr>
                <w:rFonts w:ascii="宋体" w:hAnsi="宋体"/>
                <w:color w:val="000000"/>
              </w:rPr>
              <w:t>人）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5EBBE2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102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5EB0CA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198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75C8E7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58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1686A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242</w:t>
            </w:r>
          </w:p>
        </w:tc>
        <w:tc>
          <w:tcPr>
            <w:tcW w:w="3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DEB921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197</w:t>
            </w:r>
          </w:p>
        </w:tc>
        <w:tc>
          <w:tcPr>
            <w:tcW w:w="3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5820CE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103</w:t>
            </w:r>
          </w:p>
        </w:tc>
        <w:tc>
          <w:tcPr>
            <w:tcW w:w="3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26A906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</w:tr>
      <w:tr w14:paraId="1651C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8D201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总计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56248A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463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0BA35A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437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5147B3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473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9C0CFE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427</w:t>
            </w:r>
          </w:p>
        </w:tc>
        <w:tc>
          <w:tcPr>
            <w:tcW w:w="3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7A2A93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260</w:t>
            </w:r>
          </w:p>
        </w:tc>
        <w:tc>
          <w:tcPr>
            <w:tcW w:w="3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B7E978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592</w:t>
            </w:r>
          </w:p>
        </w:tc>
        <w:tc>
          <w:tcPr>
            <w:tcW w:w="3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759457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48</w:t>
            </w:r>
          </w:p>
        </w:tc>
      </w:tr>
    </w:tbl>
    <w:p w14:paraId="18BB62A8">
      <w:pPr>
        <w:spacing w:line="360" w:lineRule="auto"/>
        <w:jc w:val="left"/>
        <w:textAlignment w:val="center"/>
        <w:rPr>
          <w:color w:val="000000"/>
        </w:rPr>
      </w:pPr>
    </w:p>
    <w:p w14:paraId="300063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（1）该研究机构采用的研究方法是_____。</w:t>
      </w:r>
    </w:p>
    <w:p w14:paraId="2E4EB7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（2）有咬手指、睡前进食等行为的学生患龋齿的比例_____（填“高于”“等于”或“低于”）无这些行为的学生。</w:t>
      </w:r>
    </w:p>
    <w:p w14:paraId="753ECA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（3）经常食用甜品易患龋齿的原因：甜品中含_____，有利于口腔内细菌的生长繁殖。为减小患龋齿的风险，食用甜品后，应立即_____。</w:t>
      </w:r>
    </w:p>
    <w:p w14:paraId="76CE44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（4）中国疾控中心的护牙海报展示了科学刷牙的顺序（以儿童为例），如图。在科学刷牙时，最先刷的是_____（填“门齿”“犬齿”或“臼齿”）。</w:t>
      </w:r>
    </w:p>
    <w:p w14:paraId="11A6E0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000625" cy="8667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396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为了解某保鲜剂对水果的保鲜效果，兴趣小组以百香果为材料开展了相关探究，实验结果如图：</w:t>
      </w:r>
    </w:p>
    <w:p w14:paraId="22CFB7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09700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6F2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实验中有一组不处理（没有加保鲜剂），其目的是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351F8C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实验结论：该保鲜剂具有保鲜效果，且在一定范围内，浓度越高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71DC1F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要在本实验的基础上进一步设计实验，比较该保鲜剂在室温和低温下的保鲜效果。请你设计一个表格，用于记录实验数据。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5B61F0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为探究能卷舌基因（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）和不能卷舌基因（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）在亲子代间的传递规律，某班同学用笔杆、纸盒、标签纸等设计了如图实验装置。实验步骤：分别从两个纸盒中随机抽取一支笔杆，记录笔杆组合类型，然后放回原纸盒中，摇匀再取，每组记录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次。统计结果如表格所示。回答以下问题：</w:t>
      </w:r>
    </w:p>
    <w:p w14:paraId="616C68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019300" cy="17526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90"/>
        <w:gridCol w:w="450"/>
        <w:gridCol w:w="450"/>
        <w:gridCol w:w="450"/>
        <w:gridCol w:w="450"/>
        <w:gridCol w:w="450"/>
        <w:gridCol w:w="660"/>
      </w:tblGrid>
      <w:tr w14:paraId="72E4A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38C86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809750" cy="600075"/>
                  <wp:effectExtent l="0" t="0" r="0" b="9525"/>
                  <wp:docPr id="100014" name="图片 100014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4" name="图片 100014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0929C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31E38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46330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A9974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四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C6E2F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85A50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合计</w:t>
            </w:r>
          </w:p>
        </w:tc>
      </w:tr>
      <w:tr w14:paraId="0FC73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C4068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甲（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）乙（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C546E8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75C6C2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527BA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F609B0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EE9F90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4D8F21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23</w:t>
            </w:r>
          </w:p>
        </w:tc>
      </w:tr>
      <w:tr w14:paraId="203CF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00A91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甲（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）乙（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1A454C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423BC7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C60EBC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137A37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F55042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A0C480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22</w:t>
            </w:r>
          </w:p>
        </w:tc>
      </w:tr>
      <w:tr w14:paraId="20B64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9F719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甲（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）乙（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59B59E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D9DDF2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EF8D2F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C8CFB9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AF540D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2B022A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29</w:t>
            </w:r>
          </w:p>
        </w:tc>
      </w:tr>
      <w:tr w14:paraId="19B2E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5167A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甲（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）乙（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10E232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D0457E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C2445F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FF7913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56ED78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C247D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26</w:t>
            </w:r>
          </w:p>
        </w:tc>
      </w:tr>
    </w:tbl>
    <w:p w14:paraId="70A4476E">
      <w:pPr>
        <w:spacing w:line="360" w:lineRule="auto"/>
        <w:jc w:val="left"/>
        <w:textAlignment w:val="center"/>
        <w:rPr>
          <w:color w:val="000000"/>
        </w:rPr>
      </w:pPr>
    </w:p>
    <w:p w14:paraId="470C21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（1）实验中笔杆模拟的是染色体，标签纸模拟的是_____。后代</w:t>
      </w:r>
      <w:r>
        <w:rPr>
          <w:rFonts w:eastAsia="Times New Roman" w:cs="Times New Roman"/>
          <w:color w:val="000000"/>
        </w:rPr>
        <w:t>aa</w:t>
      </w:r>
      <w:r>
        <w:rPr>
          <w:rFonts w:ascii="宋体" w:hAnsi="宋体"/>
          <w:color w:val="000000"/>
        </w:rPr>
        <w:t>表现的性状是_____。</w:t>
      </w:r>
    </w:p>
    <w:p w14:paraId="4F2309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（2）在实验统计结果中，后代</w:t>
      </w:r>
      <w:r>
        <w:rPr>
          <w:rFonts w:eastAsia="Times New Roman" w:cs="Times New Roman"/>
          <w:color w:val="000000"/>
        </w:rPr>
        <w:t>Aa</w:t>
      </w:r>
      <w:r>
        <w:rPr>
          <w:rFonts w:ascii="宋体" w:hAnsi="宋体"/>
          <w:color w:val="000000"/>
        </w:rPr>
        <w:t>个体的比例是_____</w:t>
      </w:r>
      <w:r>
        <w:rPr>
          <w:rFonts w:eastAsia="Times New Roman" w:cs="Times New Roman"/>
          <w:color w:val="000000"/>
        </w:rPr>
        <w:t>%</w:t>
      </w:r>
      <w:r>
        <w:rPr>
          <w:rFonts w:ascii="宋体" w:hAnsi="宋体"/>
          <w:color w:val="000000"/>
        </w:rPr>
        <w:t>。</w:t>
      </w:r>
    </w:p>
    <w:p w14:paraId="224E0F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（3）该模拟实验得到的数据是否符合预测结果？判断并说出理由：_____。</w:t>
      </w:r>
    </w:p>
    <w:p w14:paraId="79D9AAAA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四、分析说明题（</w:t>
      </w:r>
      <w:r>
        <w:rPr>
          <w:rFonts w:eastAsia="Times New Roman" w:cs="Times New Roman"/>
          <w:b/>
          <w:color w:val="000000"/>
          <w:sz w:val="24"/>
        </w:rPr>
        <w:t>32</w:t>
      </w:r>
      <w:r>
        <w:rPr>
          <w:rFonts w:ascii="宋体" w:hAnsi="宋体"/>
          <w:b/>
          <w:color w:val="000000"/>
          <w:sz w:val="24"/>
        </w:rPr>
        <w:t>小题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分、</w:t>
      </w:r>
      <w:r>
        <w:rPr>
          <w:rFonts w:eastAsia="Times New Roman" w:cs="Times New Roman"/>
          <w:b/>
          <w:color w:val="000000"/>
          <w:sz w:val="24"/>
        </w:rPr>
        <w:t>33</w:t>
      </w:r>
      <w:r>
        <w:rPr>
          <w:rFonts w:ascii="宋体" w:hAnsi="宋体"/>
          <w:b/>
          <w:color w:val="000000"/>
          <w:sz w:val="24"/>
        </w:rPr>
        <w:t>小题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分、</w:t>
      </w:r>
      <w:r>
        <w:rPr>
          <w:rFonts w:eastAsia="Times New Roman" w:cs="Times New Roman"/>
          <w:b/>
          <w:color w:val="000000"/>
          <w:sz w:val="24"/>
        </w:rPr>
        <w:t>34</w:t>
      </w:r>
      <w:r>
        <w:rPr>
          <w:rFonts w:ascii="宋体" w:hAnsi="宋体"/>
          <w:b/>
          <w:color w:val="000000"/>
          <w:sz w:val="24"/>
        </w:rPr>
        <w:t>小题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分）</w:t>
      </w:r>
    </w:p>
    <w:p w14:paraId="7F373A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/>
          <w:color w:val="000000"/>
        </w:rPr>
        <w:t>中华民族从远古时代起就进行着艰苦卓绝的劳动和斗争，发展了农业生产，对人类文明作出了巨大贡献。分析以下材料回答问题：</w:t>
      </w:r>
    </w:p>
    <w:p w14:paraId="537CC2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材料一：“五谷丰登、六畜兴旺”中“五谷”在甲骨文时期就已存在，关于“五谷”的某种解释如图所示：</w:t>
      </w:r>
    </w:p>
    <w:p w14:paraId="17301A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914775" cy="3143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FE6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材料二：《齐民要术》被称为中国古代农业的“百科全书”，至今还具有指导意义，如“区间草生，锄之”“正其行、通其风”“凡美田之法，绿豆为上”等。</w:t>
      </w:r>
    </w:p>
    <w:p w14:paraId="31148E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材料三：我国全面建立粮食科技创新体系，大力培育优良品种，推广应用科学施肥、节水灌溉、绿色防治等技术，确保“中国人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饭碗任何时候都要牢牢端在自己手中，饭碗主要装中国粮”。</w:t>
      </w:r>
    </w:p>
    <w:p w14:paraId="5DDE19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甲骨文中的“黍”“稷”等字将作物舒展的茎叶形象地表现出来。舒展的茎叶有利于作物进行_____作用，把二氧化碳和水转化为有机物储存在种子中。“菽”是指双子叶植物大豆，其种子结构中储存营养的是_____。</w:t>
      </w:r>
    </w:p>
    <w:p w14:paraId="1EA25A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（2）在劳动生产中要及时锄草保证产量，这是因为杂草和作物之间存在_____关系。</w:t>
      </w:r>
    </w:p>
    <w:p w14:paraId="582D1B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（3）湖南水稻育种团队通过杂交、诱变等技术，改变水稻细胞中的_____，培育出超级杂交稻、低镉水稻、耐盐碱水稻等品种，为国家粮食安全作出了贡献。</w:t>
      </w:r>
    </w:p>
    <w:p w14:paraId="310EF4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（4）现代农业中种植的紫云英与绿豆均为豆科植物，根系中含能固氮的根瘤菌。它们作为绿肥可为作物的生长提供_____，从而达到“美田”（即肥田）的目的。</w:t>
      </w:r>
    </w:p>
    <w:p w14:paraId="3945CE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（5）过度施肥会造成环境污染。为推广化肥减量增效技术，在指导农民精准施肥前，农业技术员需要通过检测、查阅等获取哪些数据？_____。</w:t>
      </w:r>
    </w:p>
    <w:p w14:paraId="4DA6D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/>
          <w:color w:val="000000"/>
        </w:rPr>
        <w:t>接种疫苗是保护自己和家人健康的重要手段之一。自</w:t>
      </w:r>
      <w:r>
        <w:rPr>
          <w:rFonts w:eastAsia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月首批新冠病毒疫苗开始接种起，我国完成了世界上人数最多、规模最大的新冠病毒疫苗接种。截至今年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日，全国累计接种新冠病毒疫苗</w:t>
      </w:r>
      <w:r>
        <w:rPr>
          <w:rFonts w:eastAsia="Times New Roman" w:cs="Times New Roman"/>
          <w:color w:val="000000"/>
        </w:rPr>
        <w:t>338299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万剂次。根据所学知识，回答问题：</w:t>
      </w:r>
    </w:p>
    <w:p w14:paraId="4DAFE0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2251710"/>
            <wp:effectExtent l="0" t="0" r="0" b="1524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25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D28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（1）接种新冠病毒疫苗可以使人体内产生相应的_____，从而提高对新冠肺炎的抵抗力。</w:t>
      </w:r>
    </w:p>
    <w:p w14:paraId="2E57D5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（2）接种疫苗后，依然要做好个人防护。下列行为不符合个人防护要求的是</w:t>
      </w:r>
      <w:r>
        <w:rPr>
          <w:rFonts w:eastAsia="Times New Roman" w:cs="Times New Roman"/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19A6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核酸检测保持距离</w:t>
      </w:r>
    </w:p>
    <w:p w14:paraId="050C25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高烧不适自我治疗</w:t>
      </w:r>
    </w:p>
    <w:p w14:paraId="25C479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在外就餐公筷公勺</w:t>
      </w:r>
    </w:p>
    <w:p w14:paraId="549F5A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脏污口罩及时更换</w:t>
      </w:r>
    </w:p>
    <w:p w14:paraId="65F73C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（3）新冠病毒结构简单，仅由_____外壳和内部的遗传物质组成。短短几年时间内，世界卫生组织公布需要关注的病毒株系就有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种，目前奥密克戎已取代德尔塔成为主要流行的病毒株系，这说明新冠病毒具有_____的特征。我国疫苗经历了多种病毒株系的挑战，对目前流行的奥密克戎仍具较高的保护效力。</w:t>
      </w:r>
    </w:p>
    <w:p w14:paraId="1E588E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（4）截至今年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日，湖南</w:t>
      </w:r>
      <w:r>
        <w:rPr>
          <w:rFonts w:eastAsia="Times New Roman" w:cs="Times New Roman"/>
          <w:color w:val="000000"/>
        </w:rPr>
        <w:t>60</w:t>
      </w:r>
      <w:r>
        <w:rPr>
          <w:rFonts w:ascii="宋体" w:hAnsi="宋体"/>
          <w:color w:val="000000"/>
        </w:rPr>
        <w:t>岁及以上人群新冠病毒疫苗接种覆盖</w:t>
      </w:r>
      <w:r>
        <w:rPr>
          <w:rFonts w:eastAsia="Times New Roman" w:cs="Times New Roman"/>
          <w:color w:val="000000"/>
        </w:rPr>
        <w:t>1149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万人，接种覆盖率为</w:t>
      </w:r>
      <w:r>
        <w:rPr>
          <w:rFonts w:eastAsia="Times New Roman" w:cs="Times New Roman"/>
          <w:color w:val="000000"/>
        </w:rPr>
        <w:t>87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0%</w:t>
      </w:r>
      <w:r>
        <w:rPr>
          <w:rFonts w:ascii="宋体" w:hAnsi="宋体"/>
          <w:color w:val="000000"/>
        </w:rPr>
        <w:t>，有序推进符合条件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老年人尽快接种疫苗至关重要。如图为中国香港卫生署公布的我国疫苗保护效力的相关数据。请分析数据，为社区防疫宣传提供老年人“应接尽接”的理由。_____。</w:t>
      </w:r>
    </w:p>
    <w:p w14:paraId="20DF09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/>
          <w:color w:val="000000"/>
        </w:rPr>
        <w:t>为介绍中国生物多样性保护理念和实践，增进国际社会对中国生物多样性保护的了解，国务院新闻办公室发表了《中国的生物多样性保护》白皮书。根据所学回答问题：</w:t>
      </w:r>
    </w:p>
    <w:p w14:paraId="61B73B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（1）“生物多样性”是生物（动物、植物、微生物）与环境形成的生态复合体以及与此相关的各种生态过程的总和，包括生态系统、_____和基因三个层次。</w:t>
      </w:r>
    </w:p>
    <w:p w14:paraId="681500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2011</w:t>
      </w:r>
      <w:r>
        <w:rPr>
          <w:rFonts w:ascii="宋体" w:hAnsi="宋体"/>
          <w:color w:val="000000"/>
        </w:rPr>
        <w:t>年以来，我国建立了</w:t>
      </w:r>
      <w:r>
        <w:rPr>
          <w:rFonts w:eastAsia="Times New Roman" w:cs="Times New Roman"/>
          <w:color w:val="000000"/>
        </w:rPr>
        <w:t>380</w:t>
      </w:r>
      <w:r>
        <w:rPr>
          <w:rFonts w:ascii="宋体" w:hAnsi="宋体"/>
          <w:color w:val="000000"/>
        </w:rPr>
        <w:t>个鸟类观测样区，</w:t>
      </w:r>
      <w:r>
        <w:rPr>
          <w:rFonts w:eastAsia="Times New Roman" w:cs="Times New Roman"/>
          <w:color w:val="000000"/>
        </w:rPr>
        <w:t>159</w:t>
      </w:r>
      <w:r>
        <w:rPr>
          <w:rFonts w:ascii="宋体" w:hAnsi="宋体"/>
          <w:color w:val="000000"/>
        </w:rPr>
        <w:t>个两栖动物观测样区，</w:t>
      </w:r>
      <w:r>
        <w:rPr>
          <w:rFonts w:eastAsia="Times New Roman" w:cs="Times New Roman"/>
          <w:color w:val="000000"/>
        </w:rPr>
        <w:t>70</w:t>
      </w:r>
      <w:r>
        <w:rPr>
          <w:rFonts w:ascii="宋体" w:hAnsi="宋体"/>
          <w:color w:val="000000"/>
        </w:rPr>
        <w:t>个哺乳动物观测样区和</w:t>
      </w:r>
      <w:r>
        <w:rPr>
          <w:rFonts w:eastAsia="Times New Roman" w:cs="Times New Roman"/>
          <w:color w:val="000000"/>
        </w:rPr>
        <w:t>140</w:t>
      </w:r>
      <w:r>
        <w:rPr>
          <w:rFonts w:ascii="宋体" w:hAnsi="宋体"/>
          <w:color w:val="000000"/>
        </w:rPr>
        <w:t>个蝴蝶观测样区。以上观测的对象，属于无脊椎动物的是_____，需在水域环境及其附近进行观测的是_____。</w:t>
      </w:r>
    </w:p>
    <w:p w14:paraId="14652B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（3）为全面构建以国家公园为主体的自然保护地体系，去年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月，我国正式设立三江源、大熊猫、东北虎豹、海南热带雨林、武夷山等第一批国家公园。其中海南热带雨林国家公园主要保护_____生态系统，这也是海南长臂猿唯一的_____。</w:t>
      </w:r>
    </w:p>
    <w:p w14:paraId="42384A04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（4）中国东北虎豹国家公园与俄罗斯“豹之乡”国家公园开展国际合作，建立跨境自然保护地和生态廊道，野生东北虎开始在中俄保护地间自由迁移。这种国际合作为什么更有利于东北虎的保护？_____。</w:t>
      </w:r>
    </w:p>
    <w:p w14:paraId="2DBB10D9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2A6E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46A19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1EDC30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AEF4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557B2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211F1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60486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7D72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9054D1"/>
    <w:rsid w:val="198354B3"/>
    <w:rsid w:val="26D05C18"/>
    <w:rsid w:val="28EC03DC"/>
    <w:rsid w:val="38274566"/>
    <w:rsid w:val="6C58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2B6BA-A9EF-43DD-9E7E-9D36120865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4355</Words>
  <Characters>4797</Characters>
  <Lines>37</Lines>
  <Paragraphs>10</Paragraphs>
  <TotalTime>0</TotalTime>
  <ScaleCrop>false</ScaleCrop>
  <LinksUpToDate>false</LinksUpToDate>
  <CharactersWithSpaces>5053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2022-07-31T16:37:00Z</dcterms:created>
  <dc:creator>学科网试题生产平台</dc:creator>
  <dc:description>3032913273274368</dc:description>
  <cp:lastModifiedBy>上帝掷骰子吗</cp:lastModifiedBy>
  <dcterms:modified xsi:type="dcterms:W3CDTF">2024-07-20T16:07:43Z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3D35538225C04D93A7D020454227CCDF</vt:lpwstr>
  </property>
</Properties>
</file>