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B712D7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bookmarkStart w:id="0" w:name="_GoBack"/>
      <w:bookmarkEnd w:id="0"/>
      <w:r>
        <w:rPr>
          <w:rFonts w:ascii="宋体" w:hAnsi="宋体"/>
          <w:b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10972800</wp:posOffset>
            </wp:positionH>
            <wp:positionV relativeFrom="topMargin">
              <wp:posOffset>10325100</wp:posOffset>
            </wp:positionV>
            <wp:extent cx="254000" cy="406400"/>
            <wp:effectExtent l="0" t="0" r="12700" b="12700"/>
            <wp:wrapNone/>
            <wp:docPr id="100022" name="图片 100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2" name="图片 100022"/>
                    <pic:cNvPicPr>
                      <a:picLocks noChangeAspect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4064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/>
          <w:b/>
          <w:sz w:val="32"/>
        </w:rPr>
        <w:t>遂宁市</w:t>
      </w:r>
      <w:r>
        <w:rPr>
          <w:rFonts w:eastAsia="Times New Roman" w:cs="Times New Roman"/>
          <w:b/>
          <w:sz w:val="32"/>
        </w:rPr>
        <w:t>2022</w:t>
      </w:r>
      <w:r>
        <w:rPr>
          <w:rFonts w:ascii="宋体" w:hAnsi="宋体"/>
          <w:b/>
          <w:sz w:val="32"/>
        </w:rPr>
        <w:t>年初中毕业暨高中阶段学校招生考试</w:t>
      </w:r>
    </w:p>
    <w:p w14:paraId="25B787E3">
      <w:pPr>
        <w:spacing w:line="360" w:lineRule="auto"/>
        <w:jc w:val="center"/>
        <w:textAlignment w:val="center"/>
        <w:rPr>
          <w:rFonts w:ascii="宋体" w:hAnsi="宋体"/>
          <w:b/>
          <w:sz w:val="32"/>
        </w:rPr>
      </w:pPr>
      <w:r>
        <w:rPr>
          <w:rFonts w:ascii="宋体" w:hAnsi="宋体"/>
          <w:b/>
          <w:sz w:val="32"/>
        </w:rPr>
        <w:t>理科综合生物部分</w:t>
      </w:r>
    </w:p>
    <w:p w14:paraId="37832F7F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注意事项：</w:t>
      </w:r>
    </w:p>
    <w:p w14:paraId="66B0B7EF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1</w:t>
      </w:r>
      <w:r>
        <w:rPr>
          <w:rFonts w:ascii="宋体" w:hAnsi="宋体"/>
          <w:b/>
          <w:sz w:val="24"/>
        </w:rPr>
        <w:t>．答题前，考生务必将自己的学校、姓名、准考证号用</w:t>
      </w:r>
      <w:r>
        <w:rPr>
          <w:rFonts w:eastAsia="Times New Roman" w:cs="Times New Roman"/>
          <w:b/>
          <w:sz w:val="24"/>
        </w:rPr>
        <w:t>0</w:t>
      </w:r>
      <w:r>
        <w:rPr>
          <w:rFonts w:ascii="宋体" w:hAnsi="宋体"/>
          <w:b/>
          <w:sz w:val="24"/>
        </w:rPr>
        <w:t>．</w:t>
      </w:r>
      <w:r>
        <w:rPr>
          <w:rFonts w:eastAsia="Times New Roman" w:cs="Times New Roman"/>
          <w:b/>
          <w:sz w:val="24"/>
        </w:rPr>
        <w:t>5</w:t>
      </w:r>
      <w:r>
        <w:rPr>
          <w:rFonts w:ascii="宋体" w:hAnsi="宋体"/>
          <w:b/>
          <w:sz w:val="24"/>
        </w:rPr>
        <w:t>毫米的黑色墨水签字笔填写在答题卡上，并检查条形码粘贴是否正确。</w:t>
      </w:r>
    </w:p>
    <w:p w14:paraId="31921324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．回答选择题时，选出每小题答案后，用</w:t>
      </w:r>
      <w:r>
        <w:rPr>
          <w:rFonts w:eastAsia="Times New Roman" w:cs="Times New Roman"/>
          <w:b/>
          <w:sz w:val="24"/>
        </w:rPr>
        <w:t>2B</w:t>
      </w:r>
      <w:r>
        <w:rPr>
          <w:rFonts w:ascii="宋体" w:hAnsi="宋体"/>
          <w:b/>
          <w:sz w:val="24"/>
        </w:rPr>
        <w:t>铅笔把答题卡上对应题目的答案标号涂黑，如需改动，用橡皮擦干净后，再选涂其他答案标号；回答非选择题时，将答案写在答题卡上，写在本试卷上无效。</w:t>
      </w:r>
    </w:p>
    <w:p w14:paraId="5B6738C1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eastAsia="Times New Roman" w:cs="Times New Roman"/>
          <w:b/>
          <w:sz w:val="24"/>
        </w:rPr>
        <w:t>3</w:t>
      </w:r>
      <w:r>
        <w:rPr>
          <w:rFonts w:ascii="宋体" w:hAnsi="宋体"/>
          <w:b/>
          <w:sz w:val="24"/>
        </w:rPr>
        <w:t>．考试结束后，将本试卷和答题卡一并交回。</w:t>
      </w:r>
    </w:p>
    <w:p w14:paraId="1A6BDA7A">
      <w:pPr>
        <w:spacing w:line="360" w:lineRule="auto"/>
        <w:jc w:val="left"/>
        <w:textAlignment w:val="center"/>
        <w:rPr>
          <w:rFonts w:ascii="宋体" w:hAnsi="宋体"/>
          <w:b/>
          <w:sz w:val="24"/>
        </w:rPr>
      </w:pPr>
      <w:r>
        <w:rPr>
          <w:rFonts w:ascii="宋体" w:hAnsi="宋体"/>
          <w:b/>
          <w:sz w:val="24"/>
        </w:rPr>
        <w:t>一、选择题（每小题只有一个正确答案，每小题</w:t>
      </w:r>
      <w:r>
        <w:rPr>
          <w:rFonts w:eastAsia="Times New Roman" w:cs="Times New Roman"/>
          <w:b/>
          <w:sz w:val="24"/>
        </w:rPr>
        <w:t>2</w:t>
      </w:r>
      <w:r>
        <w:rPr>
          <w:rFonts w:ascii="宋体" w:hAnsi="宋体"/>
          <w:b/>
          <w:sz w:val="24"/>
        </w:rPr>
        <w:t>分，共</w:t>
      </w:r>
      <w:r>
        <w:rPr>
          <w:rFonts w:eastAsia="Times New Roman" w:cs="Times New Roman"/>
          <w:b/>
          <w:sz w:val="24"/>
        </w:rPr>
        <w:t>20</w:t>
      </w:r>
      <w:r>
        <w:rPr>
          <w:rFonts w:ascii="宋体" w:hAnsi="宋体"/>
          <w:b/>
          <w:sz w:val="24"/>
        </w:rPr>
        <w:t>分）</w:t>
      </w:r>
    </w:p>
    <w:p w14:paraId="020F40CF">
      <w:pPr>
        <w:spacing w:line="360" w:lineRule="auto"/>
        <w:jc w:val="left"/>
        <w:textAlignment w:val="center"/>
        <w:rPr>
          <w:rFonts w:ascii="宋体" w:hAnsi="宋体"/>
        </w:rPr>
      </w:pPr>
      <w:r>
        <w:t xml:space="preserve">1. </w:t>
      </w:r>
      <w:r>
        <w:rPr>
          <w:rFonts w:ascii="宋体" w:hAnsi="宋体"/>
        </w:rPr>
        <w:t>物理模型能以实物或图片形式直观表达认识对象的特征。下图是某课外兴趣小组构建的植物细胞模型，该模型还需补充的细胞结构是（　　）</w:t>
      </w:r>
    </w:p>
    <w:p w14:paraId="11772DE3">
      <w:pPr>
        <w:spacing w:line="360" w:lineRule="auto"/>
        <w:jc w:val="left"/>
        <w:textAlignment w:val="center"/>
      </w:pPr>
      <w:r>
        <w:rPr>
          <w:rFonts w:hint="eastAsia"/>
        </w:rPr>
        <w:drawing>
          <wp:inline distT="0" distB="0" distL="114300" distR="114300">
            <wp:extent cx="857250" cy="1038225"/>
            <wp:effectExtent l="0" t="0" r="0" b="9525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2864AE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hint="eastAsia"/>
        </w:rPr>
        <w:t xml:space="preserve">A. </w:t>
      </w:r>
      <w:r>
        <w:rPr>
          <w:rFonts w:ascii="宋体" w:hAnsi="宋体"/>
        </w:rPr>
        <w:t>细胞壁</w:t>
      </w:r>
      <w:r>
        <w:rPr>
          <w:rFonts w:hint="eastAsia"/>
        </w:rPr>
        <w:tab/>
      </w:r>
      <w:r>
        <w:rPr>
          <w:rFonts w:hint="eastAsia"/>
        </w:rPr>
        <w:t xml:space="preserve">B. </w:t>
      </w:r>
      <w:r>
        <w:rPr>
          <w:rFonts w:ascii="宋体" w:hAnsi="宋体"/>
        </w:rPr>
        <w:t>细胞膜</w:t>
      </w:r>
      <w:r>
        <w:rPr>
          <w:rFonts w:hint="eastAsia"/>
        </w:rPr>
        <w:tab/>
      </w:r>
      <w:r>
        <w:rPr>
          <w:rFonts w:hint="eastAsia"/>
        </w:rPr>
        <w:t xml:space="preserve">C. </w:t>
      </w:r>
      <w:r>
        <w:rPr>
          <w:rFonts w:ascii="宋体" w:hAnsi="宋体"/>
        </w:rPr>
        <w:t>细胞核</w:t>
      </w:r>
      <w:r>
        <w:rPr>
          <w:rFonts w:hint="eastAsia"/>
        </w:rPr>
        <w:tab/>
      </w:r>
      <w:r>
        <w:rPr>
          <w:rFonts w:hint="eastAsia"/>
        </w:rPr>
        <w:t xml:space="preserve">D. </w:t>
      </w:r>
      <w:r>
        <w:rPr>
          <w:rFonts w:ascii="宋体" w:hAnsi="宋体"/>
        </w:rPr>
        <w:t>大液泡</w:t>
      </w:r>
    </w:p>
    <w:p w14:paraId="54EAD59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/>
          <w:color w:val="000000"/>
        </w:rPr>
        <w:t>微生物个体微小、结构简单，在食品制作方面运用广泛。下列对应关系正确的是（　　）</w:t>
      </w:r>
    </w:p>
    <w:p w14:paraId="23B8E631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酸奶——乳酸菌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泡菜——米曲霉</w:t>
      </w:r>
    </w:p>
    <w:p w14:paraId="2A1798E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米酒——醋酸菌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面酱——酵母菌</w:t>
      </w:r>
    </w:p>
    <w:p w14:paraId="3BD4D4FD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3. </w:t>
      </w:r>
      <w:r>
        <w:rPr>
          <w:rFonts w:eastAsia="Times New Roman" w:cs="Times New Roman"/>
          <w:color w:val="000000"/>
        </w:rPr>
        <w:t>5</w:t>
      </w:r>
      <w:r>
        <w:rPr>
          <w:rFonts w:ascii="宋体" w:hAnsi="宋体"/>
          <w:color w:val="000000"/>
        </w:rPr>
        <w:t>月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日是中国学生营养日，某生物兴趣小组打算办一期“人体消化与吸收”黑板报。同学们准备的资料中描述错误的是（　　）</w:t>
      </w:r>
    </w:p>
    <w:p w14:paraId="0D48B58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馒头咀嚼变甜是因为淀粉被分解为麦芽糖</w:t>
      </w:r>
    </w:p>
    <w:p w14:paraId="4FD62EA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胃腺分泌的胃液中含有能分解蛋白质的酶</w:t>
      </w:r>
    </w:p>
    <w:p w14:paraId="031805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维生素、无机盐主要在小肠内被消化吸收</w:t>
      </w:r>
    </w:p>
    <w:p w14:paraId="7C40114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肝脏分泌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0" name="图片 100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0" name="图片 100010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胆汁通过胆管送入到小肠腔内</w:t>
      </w:r>
    </w:p>
    <w:p w14:paraId="3D90C87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/>
          <w:color w:val="000000"/>
        </w:rPr>
        <w:t>生物课上，同学们列举了一些关于反射的例子，其中属于条件反射的一项是（　　）</w:t>
      </w:r>
    </w:p>
    <w:p w14:paraId="64BEFB2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吃李子流唾液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看小说感动得哭了</w:t>
      </w:r>
    </w:p>
    <w:p w14:paraId="05C0720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小孩夜间尿床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手碰到火立即缩回</w:t>
      </w:r>
    </w:p>
    <w:p w14:paraId="3C85112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/>
          <w:color w:val="000000"/>
        </w:rPr>
        <w:t>预防新冠，人人有责。下列预防新冠肺炎的方法中不属于切断传播途径的是（　　）</w:t>
      </w:r>
    </w:p>
    <w:p w14:paraId="3DFB21F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勤打扫，多消毒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勤洗手，常通风</w:t>
      </w:r>
    </w:p>
    <w:p w14:paraId="0C14AC6A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多喝水，多运动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一米线，不聚集</w:t>
      </w:r>
    </w:p>
    <w:p w14:paraId="1F017E2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/>
          <w:color w:val="000000"/>
        </w:rPr>
        <w:t>某同学为探究温度对面包虫生活的影响，设计了如下实验方案：</w:t>
      </w:r>
    </w:p>
    <w:tbl>
      <w:tblPr>
        <w:tblStyle w:val="5"/>
        <w:tblW w:w="99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1995"/>
        <w:gridCol w:w="1995"/>
        <w:gridCol w:w="1995"/>
        <w:gridCol w:w="1995"/>
        <w:gridCol w:w="1995"/>
      </w:tblGrid>
      <w:tr w14:paraId="409C76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AD79BDF">
            <w:pPr>
              <w:spacing w:line="360" w:lineRule="auto"/>
              <w:ind w:firstLine="840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探究因素</w:t>
            </w:r>
          </w:p>
          <w:p w14:paraId="0E7F80B8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93EAA4D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面包虫数量（只）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DC16CB5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泥土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8BA53A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光线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7AB9286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温度</w:t>
            </w:r>
          </w:p>
        </w:tc>
      </w:tr>
      <w:tr w14:paraId="5F7995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F543EB3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实验组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42FD369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1E85120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湿土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DAE63CE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①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69A806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②</w:t>
            </w:r>
          </w:p>
        </w:tc>
      </w:tr>
      <w:tr w14:paraId="31F51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E7BC939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对照组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96269B1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20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1FC85C5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湿土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9366C5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阴暗</w:t>
            </w:r>
          </w:p>
        </w:tc>
        <w:tc>
          <w:tcPr>
            <w:tcW w:w="199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EF2F1F3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30</w:t>
            </w:r>
            <w:r>
              <w:rPr>
                <w:rFonts w:ascii="宋体" w:hAnsi="宋体"/>
                <w:color w:val="000000"/>
              </w:rPr>
              <w:t>℃</w:t>
            </w:r>
          </w:p>
        </w:tc>
      </w:tr>
    </w:tbl>
    <w:p w14:paraId="7CCC9089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该实验方案中①②应为（　　）</w:t>
      </w:r>
    </w:p>
    <w:p w14:paraId="42767C0B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</w:t>
      </w:r>
      <w:r>
        <w:rPr>
          <w:rFonts w:ascii="宋体" w:hAnsi="宋体"/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12" name="图片 1000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2" name="图片 100012"/>
                    <pic:cNvPicPr>
                      <a:picLocks noChangeAspect="1"/>
                    </pic:cNvPicPr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 xml:space="preserve"> 明亮，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℃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阴暗，</w:t>
      </w:r>
      <w:r>
        <w:rPr>
          <w:rFonts w:eastAsia="Times New Roman" w:cs="Times New Roman"/>
          <w:color w:val="000000"/>
        </w:rPr>
        <w:t>20</w:t>
      </w:r>
      <w:r>
        <w:rPr>
          <w:rFonts w:ascii="宋体" w:hAnsi="宋体"/>
          <w:color w:val="000000"/>
        </w:rPr>
        <w:t>℃</w:t>
      </w:r>
    </w:p>
    <w:p w14:paraId="69DF6FA4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明亮，</w:t>
      </w:r>
      <w:r>
        <w:rPr>
          <w:rFonts w:eastAsia="Times New Roman" w:cs="Times New Roman"/>
          <w:color w:val="000000"/>
        </w:rPr>
        <w:t>30</w:t>
      </w:r>
      <w:r>
        <w:rPr>
          <w:rFonts w:ascii="宋体" w:hAnsi="宋体"/>
          <w:color w:val="000000"/>
        </w:rPr>
        <w:t>℃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阴暗，</w:t>
      </w:r>
      <w:r>
        <w:rPr>
          <w:rFonts w:eastAsia="Times New Roman" w:cs="Times New Roman"/>
          <w:color w:val="000000"/>
        </w:rPr>
        <w:t>30</w:t>
      </w:r>
      <w:r>
        <w:rPr>
          <w:rFonts w:ascii="宋体" w:hAnsi="宋体"/>
          <w:color w:val="000000"/>
        </w:rPr>
        <w:t>℃</w:t>
      </w:r>
    </w:p>
    <w:p w14:paraId="06740C9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7. </w:t>
      </w:r>
      <w:r>
        <w:rPr>
          <w:rFonts w:ascii="宋体" w:hAnsi="宋体"/>
          <w:color w:val="000000"/>
        </w:rPr>
        <w:t>下图表示某植物的两种生理过程。下列有关叙述错误的是（　　）</w:t>
      </w:r>
    </w:p>
    <w:p w14:paraId="383675B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1400175" cy="1362075"/>
            <wp:effectExtent l="0" t="0" r="9525" b="9525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4" name="图片 10000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9BC81F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①过程表示光合作用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②过程表示呼吸作用</w:t>
      </w:r>
    </w:p>
    <w:p w14:paraId="353CC538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①和②白天同时进行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①和②在叶绿体进行</w:t>
      </w:r>
    </w:p>
    <w:p w14:paraId="26AD275C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/>
          <w:color w:val="000000"/>
        </w:rPr>
        <w:t>由袁隆平院士领衔的科研团队研发的海水稻是一种耐盐碱水稻，该技术可使大片盐碱地变为粮仓。海水稻的选育是（　　）</w:t>
      </w:r>
    </w:p>
    <w:p w14:paraId="3F684034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人工选择的结果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定向变异的结果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C. 自然选择的结果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适应环境的结果</w:t>
      </w:r>
    </w:p>
    <w:p w14:paraId="4B54ADE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/>
          <w:color w:val="000000"/>
        </w:rPr>
        <w:t>下列“验证绿叶在光下合成淀粉”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1" name="图片 100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实验操作及目的分析错误的是（　　）</w:t>
      </w:r>
    </w:p>
    <w:p w14:paraId="6C7283F3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植株黑暗处理的目的是消耗原有淀粉</w:t>
      </w:r>
    </w:p>
    <w:p w14:paraId="6A1BF6F1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B. 叶片部分遮光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目的是形成对照实验</w:t>
      </w:r>
    </w:p>
    <w:p w14:paraId="45C8B752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水浴加热这一步骤目的是脱去叶绿素</w:t>
      </w:r>
    </w:p>
    <w:p w14:paraId="5F1054C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D. 两次用清水漂洗的目的均是洗去色素</w:t>
      </w:r>
    </w:p>
    <w:p w14:paraId="4893656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/>
          <w:color w:val="000000"/>
        </w:rPr>
        <w:t>遗传具有一定的物质基础。图表示细胞核、染色体、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、基因之间的关系，相关叙述错误的是（　　）</w:t>
      </w:r>
    </w:p>
    <w:p w14:paraId="2D12B6E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200275" cy="2076450"/>
            <wp:effectExtent l="0" t="0" r="9525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0275" cy="2076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1C91922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A. ①表示细胞核，是细胞生命活动的控制中心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B. ②表示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，是生物体的主要遗传物质</w:t>
      </w:r>
    </w:p>
    <w:p w14:paraId="1DF6FD9C">
      <w:pPr>
        <w:tabs>
          <w:tab w:val="left" w:pos="4873"/>
        </w:tabs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C. ③表示蛋白质，是染色体的重要组成成分</w:t>
      </w:r>
      <w:r>
        <w:rPr>
          <w:rFonts w:ascii="宋体" w:hAnsi="宋体"/>
          <w:color w:val="000000"/>
        </w:rPr>
        <w:tab/>
      </w:r>
      <w:r>
        <w:rPr>
          <w:rFonts w:ascii="宋体" w:hAnsi="宋体"/>
          <w:color w:val="000000"/>
        </w:rPr>
        <w:t>D. ⑤表示基因，是包含遗传信息的</w:t>
      </w:r>
      <w:r>
        <w:rPr>
          <w:rFonts w:eastAsia="Times New Roman" w:cs="Times New Roman"/>
          <w:color w:val="000000"/>
        </w:rPr>
        <w:t>DNA</w:t>
      </w:r>
      <w:r>
        <w:rPr>
          <w:rFonts w:ascii="宋体" w:hAnsi="宋体"/>
          <w:color w:val="000000"/>
        </w:rPr>
        <w:t>片段</w:t>
      </w:r>
    </w:p>
    <w:p w14:paraId="29853BF9">
      <w:pPr>
        <w:spacing w:line="360" w:lineRule="auto"/>
        <w:jc w:val="left"/>
        <w:textAlignment w:val="center"/>
        <w:rPr>
          <w:rFonts w:ascii="宋体" w:hAnsi="宋体"/>
          <w:b/>
          <w:color w:val="000000"/>
          <w:sz w:val="24"/>
        </w:rPr>
      </w:pPr>
      <w:r>
        <w:rPr>
          <w:rFonts w:ascii="宋体" w:hAnsi="宋体"/>
          <w:b/>
          <w:color w:val="000000"/>
          <w:sz w:val="24"/>
        </w:rPr>
        <w:t>二、综合应用题（共</w:t>
      </w:r>
      <w:r>
        <w:rPr>
          <w:rFonts w:eastAsia="Times New Roman" w:cs="Times New Roman"/>
          <w:b/>
          <w:color w:val="000000"/>
          <w:sz w:val="24"/>
        </w:rPr>
        <w:t>20</w:t>
      </w:r>
      <w:r>
        <w:rPr>
          <w:rFonts w:ascii="宋体" w:hAnsi="宋体"/>
          <w:b/>
          <w:color w:val="000000"/>
          <w:sz w:val="24"/>
        </w:rPr>
        <w:t>分）</w:t>
      </w:r>
    </w:p>
    <w:p w14:paraId="615D2DD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/>
          <w:color w:val="000000"/>
        </w:rPr>
        <w:t>北京冬奥会、冬残奥会上运动健儿们奋勇拼搏，为国争光，是我们青少年学习的榜样。下图表示某运动员体内部分生理过程模式图，其中</w:t>
      </w:r>
      <w:r>
        <w:rPr>
          <w:rFonts w:eastAsia="Times New Roman" w:cs="Times New Roman"/>
          <w:color w:val="000000"/>
        </w:rPr>
        <w:t>ABCD</w:t>
      </w:r>
      <w:r>
        <w:rPr>
          <w:rFonts w:ascii="宋体" w:hAnsi="宋体"/>
          <w:color w:val="000000"/>
        </w:rPr>
        <w:t>表示心脏的四个腔，①②③表示肾单位的三个部分。请根据所学知识，回答下列问题：</w:t>
      </w:r>
    </w:p>
    <w:p w14:paraId="670CF5BE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4438650" cy="1543050"/>
            <wp:effectExtent l="0" t="0" r="0" b="0"/>
            <wp:docPr id="100006" name="图片 100006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6" name="图片 100006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38650" cy="1543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DC6808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（1）比赛前尿检时若发现该运动员尿液中含有葡萄糖，则可能是图乙中的__________（填序号）发生病变，或者__________（填激素名称）分泌过少。</w:t>
      </w:r>
    </w:p>
    <w:p w14:paraId="510B6E0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（2）该运动员呼吸时，吸人的氧气通过图甲进入血液，经由__________（填血管名称）流回心脏</w:t>
      </w: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，该血管中流的是__________（填“动脉血”或“静脉血”）。</w:t>
      </w:r>
    </w:p>
    <w:p w14:paraId="262DA1C5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（3）下图是该运动员吸气或呼气时肺和隔肌的活动情况模拟图，图__________能模拟吸气过程。</w:t>
      </w:r>
    </w:p>
    <w:p w14:paraId="2AF39AD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3124200" cy="11620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24200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2F8D9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（4）该运动员在夺得冠军时热血沸腾，激动得手舞足蹈。这是人体__________调节和激素调节共同作用的结果。</w:t>
      </w:r>
    </w:p>
    <w:p w14:paraId="6943675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12. </w:t>
      </w:r>
      <w:r>
        <w:rPr>
          <w:rFonts w:ascii="宋体" w:hAnsi="宋体"/>
          <w:color w:val="000000"/>
        </w:rPr>
        <w:t>遂宁市安居区“凯歌公社</w:t>
      </w:r>
      <w:r>
        <w:rPr>
          <w:rFonts w:eastAsia="Times New Roman" w:cs="Times New Roman"/>
          <w:color w:val="000000"/>
        </w:rPr>
        <w:t>1974</w:t>
      </w:r>
      <w:r>
        <w:rPr>
          <w:rFonts w:ascii="宋体" w:hAnsi="宋体"/>
          <w:color w:val="000000"/>
        </w:rPr>
        <w:t>”基地里种植了太空番茄、太空椒、太空南瓜等</w:t>
      </w:r>
      <w:r>
        <w:rPr>
          <w:rFonts w:eastAsia="Times New Roman" w:cs="Times New Roman"/>
          <w:color w:val="000000"/>
        </w:rPr>
        <w:t>50</w:t>
      </w:r>
      <w:r>
        <w:rPr>
          <w:rFonts w:ascii="宋体" w:hAnsi="宋体"/>
          <w:color w:val="000000"/>
        </w:rPr>
        <w:t>余个品种的航天蔬菜。某生物兴趣小组用其番茄进行杂交实验，结果如表所示，请回答：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60"/>
        <w:gridCol w:w="1290"/>
        <w:gridCol w:w="1170"/>
        <w:gridCol w:w="1170"/>
      </w:tblGrid>
      <w:tr w14:paraId="28A6C0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854FD5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组别</w:t>
            </w:r>
          </w:p>
        </w:tc>
        <w:tc>
          <w:tcPr>
            <w:tcW w:w="0" w:type="auto"/>
            <w:vMerge w:val="restar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B030E3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亲本表现型</w:t>
            </w:r>
          </w:p>
        </w:tc>
        <w:tc>
          <w:tcPr>
            <w:tcW w:w="0" w:type="auto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4D7F879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子一代的表现型和株数</w:t>
            </w:r>
          </w:p>
        </w:tc>
      </w:tr>
      <w:tr w14:paraId="4A5B5C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69116DC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0" w:type="auto"/>
            <w:vMerge w:val="continue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8DC5BA9">
            <w:pPr>
              <w:spacing w:line="360" w:lineRule="auto"/>
              <w:jc w:val="left"/>
              <w:textAlignment w:val="center"/>
              <w:rPr>
                <w:rFonts w:ascii="宋体" w:hAnsi="宋体"/>
                <w:color w:val="000000"/>
              </w:rPr>
            </w:pP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EA56F1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红果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099079F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黄果</w:t>
            </w:r>
          </w:p>
        </w:tc>
      </w:tr>
      <w:tr w14:paraId="12D9C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13142FBF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0B1C4E88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红果</w:t>
            </w:r>
            <w:r>
              <w:rPr>
                <w:rFonts w:eastAsia="Times New Roman" w:cs="Times New Roman"/>
                <w:color w:val="000000"/>
              </w:rPr>
              <w:t>×</w:t>
            </w:r>
            <w:r>
              <w:rPr>
                <w:rFonts w:ascii="宋体" w:hAnsi="宋体"/>
                <w:color w:val="000000"/>
              </w:rPr>
              <w:t>黄果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5F8EBC5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489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7A4DFE60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0</w:t>
            </w:r>
          </w:p>
        </w:tc>
      </w:tr>
      <w:tr w14:paraId="7A8D3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57B45A44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2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2310B607">
            <w:pPr>
              <w:spacing w:line="360" w:lineRule="auto"/>
              <w:jc w:val="center"/>
              <w:textAlignment w:val="center"/>
              <w:rPr>
                <w:rFonts w:ascii="宋体" w:hAnsi="宋体"/>
                <w:color w:val="000000"/>
              </w:rPr>
            </w:pPr>
            <w:r>
              <w:rPr>
                <w:rFonts w:ascii="宋体" w:hAnsi="宋体"/>
                <w:color w:val="000000"/>
              </w:rPr>
              <w:t>红果</w:t>
            </w:r>
            <w:r>
              <w:rPr>
                <w:rFonts w:eastAsia="Times New Roman" w:cs="Times New Roman"/>
                <w:color w:val="000000"/>
              </w:rPr>
              <w:t>×</w:t>
            </w:r>
            <w:r>
              <w:rPr>
                <w:rFonts w:ascii="宋体" w:hAnsi="宋体"/>
                <w:color w:val="000000"/>
              </w:rPr>
              <w:t>红果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6401A6D9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374</w:t>
            </w:r>
          </w:p>
        </w:tc>
        <w:tc>
          <w:tcPr>
            <w:tcW w:w="0" w:type="auto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75" w:type="dxa"/>
              <w:bottom w:w="75" w:type="dxa"/>
            </w:tcMar>
            <w:vAlign w:val="center"/>
          </w:tcPr>
          <w:p w14:paraId="37BF2610">
            <w:pPr>
              <w:spacing w:line="360" w:lineRule="auto"/>
              <w:jc w:val="center"/>
              <w:textAlignment w:val="center"/>
              <w:rPr>
                <w:rFonts w:eastAsia="Times New Roman" w:cs="Times New Roman"/>
                <w:color w:val="000000"/>
              </w:rPr>
            </w:pPr>
            <w:r>
              <w:rPr>
                <w:rFonts w:eastAsia="Times New Roman" w:cs="Times New Roman"/>
                <w:color w:val="000000"/>
              </w:rPr>
              <w:t>123</w:t>
            </w:r>
          </w:p>
        </w:tc>
      </w:tr>
    </w:tbl>
    <w:p w14:paraId="5A1AC107">
      <w:pPr>
        <w:spacing w:line="360" w:lineRule="auto"/>
        <w:jc w:val="left"/>
        <w:textAlignment w:val="center"/>
        <w:rPr>
          <w:color w:val="000000"/>
        </w:rPr>
      </w:pPr>
    </w:p>
    <w:p w14:paraId="75A2E3D4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（1）根据上表可以推断出__________（填“红色”或“黄色”）果皮为显性性状。第</w:t>
      </w:r>
      <w:r>
        <w:rPr>
          <w:rFonts w:eastAsia="Times New Roman" w:cs="Times New Roman"/>
          <w:color w:val="000000"/>
        </w:rPr>
        <w:t>1</w:t>
      </w:r>
      <w:r>
        <w:rPr>
          <w:rFonts w:ascii="宋体" w:hAnsi="宋体"/>
          <w:color w:val="000000"/>
        </w:rPr>
        <w:t>组中，番茄的红果和黄果是一对相对性状。请再列举一对生物的相对性状。__________</w:t>
      </w:r>
    </w:p>
    <w:p w14:paraId="64B8D4DA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（2）组员们对第</w:t>
      </w:r>
      <w:r>
        <w:rPr>
          <w:rFonts w:eastAsia="Times New Roman" w:cs="Times New Roman"/>
          <w:color w:val="000000"/>
        </w:rPr>
        <w:t>2</w:t>
      </w:r>
      <w:r>
        <w:rPr>
          <w:rFonts w:ascii="宋体" w:hAnsi="宋体"/>
          <w:color w:val="000000"/>
        </w:rPr>
        <w:t>组子一代中红果番茄的基因组成很好奇，于是选取其中一株红果番茄和另外一株黄果番茄进行杂交实验（假设控制该性状的基因为</w:t>
      </w:r>
      <w:r>
        <w:rPr>
          <w:rFonts w:eastAsia="Times New Roman" w:cs="Times New Roman"/>
          <w:color w:val="000000"/>
        </w:rPr>
        <w:t>H/h</w:t>
      </w:r>
      <w:r>
        <w:rPr>
          <w:rFonts w:ascii="宋体" w:hAnsi="宋体"/>
          <w:color w:val="000000"/>
        </w:rPr>
        <w:t>）。</w:t>
      </w:r>
    </w:p>
    <w:p w14:paraId="410C52A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a</w:t>
      </w:r>
      <w:r>
        <w:rPr>
          <w:rFonts w:ascii="宋体" w:hAnsi="宋体"/>
          <w:color w:val="000000"/>
        </w:rPr>
        <w:t>．若产生</w:t>
      </w:r>
      <w:r>
        <w:rPr>
          <w:rFonts w:ascii="宋体" w:hAnsi="宋体"/>
          <w:color w:val="000000"/>
        </w:rPr>
        <w:drawing>
          <wp:inline distT="0" distB="0" distL="114300" distR="114300">
            <wp:extent cx="133350" cy="177800"/>
            <wp:effectExtent l="0" t="0" r="0" b="13335"/>
            <wp:docPr id="100013" name="图片 1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3" name="图片 100013"/>
                    <pic:cNvPicPr>
                      <a:picLocks noChangeAspect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/>
          <w:color w:val="000000"/>
        </w:rPr>
        <w:t>后代全部为红果，则这株红果番茄的基因组成为__________。</w:t>
      </w:r>
    </w:p>
    <w:p w14:paraId="1E2C57C7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eastAsia="Times New Roman" w:cs="Times New Roman"/>
          <w:color w:val="000000"/>
        </w:rPr>
        <w:t>b</w:t>
      </w:r>
      <w:r>
        <w:rPr>
          <w:rFonts w:ascii="宋体" w:hAnsi="宋体"/>
          <w:color w:val="000000"/>
        </w:rPr>
        <w:t>．若产生的后代既有红果，也有黄果，则这株红果番茄的基因组成为__________。</w:t>
      </w:r>
    </w:p>
    <w:p w14:paraId="563E3586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（3）从太空带回的番茄种子，经过诱变获得的新性状属于__________（填“可遗传”或“不可遗传”）变异。</w:t>
      </w:r>
    </w:p>
    <w:p w14:paraId="3A82ACA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（4）自然成熟的番茄乙烯含量高，极易腐烂、变质。小组成员认为通过__________技术能够将抑制乙烯合成的基因转人到番茄中，从而培育出耐储存的番茄。</w:t>
      </w:r>
    </w:p>
    <w:p w14:paraId="57FCB6C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/>
          <w:color w:val="000000"/>
        </w:rPr>
        <w:t>近年来，遂宁市积极打造城市生态体系，已建成多个城市湿地公园。下图是五彩缤纷路湿地公园的部分食物网简图。请据图分析回答：</w:t>
      </w:r>
    </w:p>
    <w:p w14:paraId="4B72D1A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/>
          <w:color w:val="000000"/>
        </w:rPr>
        <w:drawing>
          <wp:inline distT="0" distB="0" distL="114300" distR="114300">
            <wp:extent cx="2828925" cy="2409825"/>
            <wp:effectExtent l="0" t="0" r="9525" b="9525"/>
            <wp:docPr id="100008" name="图片 10000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8" name="图片 10000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28925" cy="2409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F1F7E8E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（1）若上图要表示一个完整的生态系统，还需要补充的生物成分是__________。图中所示食物网共有__________条食物链，毒素富集最多的生物是__________。</w:t>
      </w:r>
    </w:p>
    <w:p w14:paraId="7BF7BD6F">
      <w:pPr>
        <w:spacing w:line="360" w:lineRule="auto"/>
        <w:jc w:val="left"/>
        <w:textAlignment w:val="center"/>
        <w:rPr>
          <w:rFonts w:ascii="宋体" w:hAnsi="宋体"/>
          <w:color w:val="000000"/>
        </w:rPr>
      </w:pPr>
      <w:r>
        <w:rPr>
          <w:rFonts w:ascii="宋体" w:hAnsi="宋体"/>
          <w:color w:val="000000"/>
        </w:rPr>
        <w:t>（2）和森林生态系统相比，该生态系统的自我调节能力__________（填“较强”或“较弱”），原因是__________。</w:t>
      </w:r>
    </w:p>
    <w:p w14:paraId="43241A4B">
      <w:pPr>
        <w:spacing w:line="360" w:lineRule="auto"/>
        <w:jc w:val="left"/>
        <w:textAlignment w:val="center"/>
      </w:pPr>
      <w:r>
        <w:rPr>
          <w:rFonts w:ascii="宋体" w:hAnsi="宋体"/>
          <w:color w:val="000000"/>
        </w:rPr>
        <w:t>（3）请你为保护该生态系统提出两条合理的建议。__________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708" w:footer="708" w:gutter="0"/>
      <w:cols w:space="708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815362A">
    <w:pPr>
      <w:pStyle w:val="3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4B0D3D5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24BD81">
    <w:pPr>
      <w:pStyle w:val="3"/>
      <w:pBdr>
        <w:bottom w:val="none" w:color="auto" w:sz="0" w:space="0"/>
      </w:pBdr>
      <w:rPr>
        <w:rFonts w:hint="eastAsia"/>
        <w:lang w:eastAsia="zh-CN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71BF974">
    <w:pPr>
      <w:pStyle w:val="4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39B2F2C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CC82D57">
    <w:pPr>
      <w:pStyle w:val="4"/>
      <w:pBdr>
        <w:bottom w:val="none" w:color="auto" w:sz="0" w:space="1"/>
      </w:pBdr>
      <w:rPr>
        <w:rFonts w:hint="eastAsia"/>
        <w:lang w:eastAsia="zh-C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C4A95"/>
    <w:rsid w:val="003D0C09"/>
    <w:rsid w:val="004062F6"/>
    <w:rsid w:val="004151FC"/>
    <w:rsid w:val="00435F83"/>
    <w:rsid w:val="0046214C"/>
    <w:rsid w:val="0049183B"/>
    <w:rsid w:val="004D44FD"/>
    <w:rsid w:val="00556007"/>
    <w:rsid w:val="005670B0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74E0F"/>
    <w:rsid w:val="00982128"/>
    <w:rsid w:val="009A27BF"/>
    <w:rsid w:val="009B5666"/>
    <w:rsid w:val="009C4252"/>
    <w:rsid w:val="009E203F"/>
    <w:rsid w:val="00A07DF2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285E6764"/>
    <w:rsid w:val="38274566"/>
    <w:rsid w:val="70C978CF"/>
    <w:rsid w:val="7451650B"/>
    <w:rsid w:val="74AC1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7">
    <w:name w:val="Hyperlink"/>
    <w:basedOn w:val="6"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4"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  <w:style w:type="character" w:customStyle="1" w:styleId="11">
    <w:name w:val="批注框文本 Char"/>
    <w:basedOn w:val="6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0" Type="http://schemas.openxmlformats.org/officeDocument/2006/relationships/fontTable" Target="fontTable.xml"/><Relationship Id="rId2" Type="http://schemas.openxmlformats.org/officeDocument/2006/relationships/settings" Target="settings.xml"/><Relationship Id="rId19" Type="http://schemas.openxmlformats.org/officeDocument/2006/relationships/customXml" Target="../customXml/item1.xml"/><Relationship Id="rId18" Type="http://schemas.openxmlformats.org/officeDocument/2006/relationships/image" Target="media/image9.png"/><Relationship Id="rId17" Type="http://schemas.openxmlformats.org/officeDocument/2006/relationships/image" Target="media/image8.pn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png"/><Relationship Id="rId13" Type="http://schemas.openxmlformats.org/officeDocument/2006/relationships/image" Target="media/image4.wmf"/><Relationship Id="rId12" Type="http://schemas.openxmlformats.org/officeDocument/2006/relationships/image" Target="media/image3.wmf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719DC-1419-4352-A049-5BEB4AF14C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5</Pages>
  <Words>2044</Words>
  <Characters>2297</Characters>
  <Lines>17</Lines>
  <Paragraphs>4</Paragraphs>
  <TotalTime>0</TotalTime>
  <ScaleCrop>false</ScaleCrop>
  <LinksUpToDate>false</LinksUpToDate>
  <CharactersWithSpaces>2388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2022-06-17T17:00:00Z</dcterms:created>
  <dc:creator>学科网试题生产平台</dc:creator>
  <dc:description>3000547006349312</dc:description>
  <cp:lastModifiedBy>上帝掷骰子吗</cp:lastModifiedBy>
  <dcterms:modified xsi:type="dcterms:W3CDTF">2024-07-20T16:06:43Z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A54BAC9F3DCD487DA1455136DB2B0641</vt:lpwstr>
  </property>
</Properties>
</file>