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D83C30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bookmarkStart w:id="0" w:name="_GoBack"/>
      <w:bookmarkEnd w:id="0"/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12598400</wp:posOffset>
            </wp:positionH>
            <wp:positionV relativeFrom="topMargin">
              <wp:posOffset>10718800</wp:posOffset>
            </wp:positionV>
            <wp:extent cx="419100" cy="304800"/>
            <wp:effectExtent l="0" t="0" r="0" b="0"/>
            <wp:wrapNone/>
            <wp:docPr id="100032" name="图片 10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2" name="图片 100032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重庆市</w:t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年初中学业水平考试</w:t>
      </w:r>
    </w:p>
    <w:p w14:paraId="0A2A6483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生物试题</w:t>
      </w:r>
    </w:p>
    <w:p w14:paraId="43D5269C">
      <w:pPr>
        <w:spacing w:line="360" w:lineRule="auto"/>
        <w:jc w:val="center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（本卷共两个大题，满分</w:t>
      </w:r>
      <w:r>
        <w:rPr>
          <w:rFonts w:eastAsia="Times New Roman" w:cs="Times New Roman"/>
          <w:b/>
          <w:sz w:val="24"/>
        </w:rPr>
        <w:t>50</w:t>
      </w:r>
      <w:r>
        <w:rPr>
          <w:rFonts w:ascii="宋体" w:hAnsi="宋体"/>
          <w:b/>
          <w:sz w:val="24"/>
        </w:rPr>
        <w:t>分，与地理学科共用</w:t>
      </w:r>
      <w:r>
        <w:rPr>
          <w:rFonts w:eastAsia="Times New Roman" w:cs="Times New Roman"/>
          <w:b/>
          <w:sz w:val="24"/>
        </w:rPr>
        <w:t>90</w:t>
      </w:r>
      <w:r>
        <w:rPr>
          <w:rFonts w:ascii="宋体" w:hAnsi="宋体"/>
          <w:b/>
          <w:sz w:val="24"/>
        </w:rPr>
        <w:t>分钟）</w:t>
      </w:r>
    </w:p>
    <w:p w14:paraId="1F360449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注意事项：</w:t>
      </w:r>
    </w:p>
    <w:p w14:paraId="4BC83ED7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．试题的答案书写在答题卡上，不得在试题卷上直接作答。</w:t>
      </w:r>
    </w:p>
    <w:p w14:paraId="223BD060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．作答前认真阅读答题卡上的注意事项。</w:t>
      </w:r>
    </w:p>
    <w:p w14:paraId="1C88B7B8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．考试结束，由监考人员将试题卷和答题卡一并收回。</w:t>
      </w:r>
    </w:p>
    <w:p w14:paraId="1DD90FCF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一、单项选择题（本大题包括</w:t>
      </w:r>
      <w:r>
        <w:rPr>
          <w:rFonts w:eastAsia="Times New Roman" w:cs="Times New Roman"/>
          <w:b/>
          <w:sz w:val="24"/>
        </w:rPr>
        <w:t>20</w:t>
      </w:r>
      <w:r>
        <w:rPr>
          <w:rFonts w:ascii="宋体" w:hAnsi="宋体"/>
          <w:b/>
          <w:sz w:val="24"/>
        </w:rPr>
        <w:t>个小题，每题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20</w:t>
      </w:r>
      <w:r>
        <w:rPr>
          <w:rFonts w:ascii="宋体" w:hAnsi="宋体"/>
          <w:b/>
          <w:sz w:val="24"/>
        </w:rPr>
        <w:t>分）</w:t>
      </w:r>
    </w:p>
    <w:p w14:paraId="5159C0EE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下列四组目镜与物镜的组合中，放大倍数最大的是（　　）</w:t>
      </w:r>
    </w:p>
    <w:p w14:paraId="0C49C1D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</w:rPr>
        <w:t xml:space="preserve">A. </w:t>
      </w:r>
      <w:r>
        <w:rPr>
          <w:rFonts w:hint="eastAsia"/>
        </w:rPr>
        <w:drawing>
          <wp:inline distT="0" distB="0" distL="114300" distR="114300">
            <wp:extent cx="828675" cy="6191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hint="eastAsia"/>
        </w:rPr>
        <w:drawing>
          <wp:inline distT="0" distB="0" distL="114300" distR="114300">
            <wp:extent cx="1000125" cy="657225"/>
            <wp:effectExtent l="0" t="0" r="9525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hint="eastAsia"/>
        </w:rPr>
        <w:drawing>
          <wp:inline distT="0" distB="0" distL="114300" distR="114300">
            <wp:extent cx="952500" cy="7239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hint="eastAsia"/>
        </w:rPr>
        <w:drawing>
          <wp:inline distT="0" distB="0" distL="114300" distR="114300">
            <wp:extent cx="857250" cy="733425"/>
            <wp:effectExtent l="0" t="0" r="0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3BA96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人体形成尿液的器官是（　　）</w:t>
      </w:r>
    </w:p>
    <w:p w14:paraId="0947AAF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尿道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肾脏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输尿管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膀胱</w:t>
      </w:r>
    </w:p>
    <w:p w14:paraId="2B69173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花是植物的生殖器官，它最主要的结构是（　　）</w:t>
      </w:r>
    </w:p>
    <w:p w14:paraId="1F96DE8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花瓣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雄蕊和雌蕊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花萼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花托</w:t>
      </w:r>
    </w:p>
    <w:p w14:paraId="688021B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种庄稼要施肥，肥料的作用主要是给植物的生长提供（　　）</w:t>
      </w:r>
    </w:p>
    <w:p w14:paraId="3E4694D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维生素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蛋白质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无机盐</w:t>
      </w:r>
    </w:p>
    <w:p w14:paraId="36712AE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每年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14</w:t>
      </w:r>
      <w:r>
        <w:rPr>
          <w:rFonts w:ascii="宋体" w:hAnsi="宋体"/>
          <w:color w:val="000000"/>
        </w:rPr>
        <w:t>日是世界献血日，下列关于献血和输血的说法错误的是（　　）</w:t>
      </w:r>
    </w:p>
    <w:p w14:paraId="452C098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我国提倡健康公民自愿献血</w:t>
      </w:r>
    </w:p>
    <w:p w14:paraId="0E5F4D4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输血是一种重要的抢救措施和治疗方法</w:t>
      </w:r>
    </w:p>
    <w:p w14:paraId="0A3A3EA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为抢救病人可大量输入任何血型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血</w:t>
      </w:r>
    </w:p>
    <w:p w14:paraId="3C0BDEB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健康成年人每次献血</w:t>
      </w:r>
      <w:r>
        <w:rPr>
          <w:rFonts w:eastAsia="Times New Roman" w:cs="Times New Roman"/>
          <w:color w:val="000000"/>
        </w:rPr>
        <w:t>200~300</w:t>
      </w:r>
      <w:r>
        <w:rPr>
          <w:rFonts w:ascii="宋体" w:hAnsi="宋体"/>
          <w:color w:val="000000"/>
        </w:rPr>
        <w:t>毫升不会影响健康</w:t>
      </w:r>
    </w:p>
    <w:p w14:paraId="3F2002C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接种新冠疫苗是筑起群体免疫屏障的有效措施，这在传染病的预防中属于（　　）</w:t>
      </w:r>
    </w:p>
    <w:p w14:paraId="1F22628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切断传播途径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控制传染源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保护易感人群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杀灭病原体</w:t>
      </w:r>
    </w:p>
    <w:p w14:paraId="66B25A8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为了更好地认识生物，需要对生物进行分类，其中最基本的分类单位是（　　）</w:t>
      </w:r>
    </w:p>
    <w:p w14:paraId="5E4FC7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界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种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纲</w:t>
      </w:r>
    </w:p>
    <w:p w14:paraId="0E32727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关节是骨与骨之间能够活动的连结，既牢固又灵活，下图中增加关节牢固性的结构是（　　）</w:t>
      </w:r>
    </w:p>
    <w:p w14:paraId="78ED8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019300" cy="15240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A23A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②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③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④</w:t>
      </w:r>
    </w:p>
    <w:p w14:paraId="76E7BD5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健康的生活方式有利于保持健康体重，预防慢性病发生，下列行为习惯不可取的是（　　）</w:t>
      </w:r>
    </w:p>
    <w:p w14:paraId="0785F0E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食物多样，合理搭配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食不过量，不暴饮暴食</w:t>
      </w:r>
    </w:p>
    <w:p w14:paraId="0205A5B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可多喝奶茶代替饮水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坚持锻炼，减少久坐时间</w:t>
      </w:r>
    </w:p>
    <w:p w14:paraId="4E900F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重庆被观鸟爱好者誉为“鹰飞之城”，每年五月、十月都有大量鹰、隼等猛禽从重庆上空飞过，这是猛禽的迁徙行为，下列说法错误的是（　　）</w:t>
      </w:r>
    </w:p>
    <w:p w14:paraId="2DAFC08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猛禽的迁徙行为是生来就有的先天性行为</w:t>
      </w:r>
    </w:p>
    <w:p w14:paraId="06296D4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研究鸟类迁徙行为的主要方法是观察法</w:t>
      </w:r>
    </w:p>
    <w:p w14:paraId="4DACAA7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猛禽的迁徙行为是为了更好地适应环境</w:t>
      </w:r>
    </w:p>
    <w:p w14:paraId="1837E21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猛禽的迁徙行为是经过人们训练后获得的后天学习行为</w:t>
      </w:r>
    </w:p>
    <w:p w14:paraId="5B60CAA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下列各组性状中，不属于相对性状的是（　　）</w:t>
      </w:r>
    </w:p>
    <w:p w14:paraId="7405E12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绵羊的卷毛和直毛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豌豆的高茎和圆粒</w:t>
      </w:r>
    </w:p>
    <w:p w14:paraId="760486B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番茄的红果和黄果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人的能卷舌和不能卷舌</w:t>
      </w:r>
    </w:p>
    <w:p w14:paraId="59C75A7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有耳垂性状由显性基因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控制，无耳垂性状由隐性基因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控制，则无耳垂个体的基因组成是（　　）</w:t>
      </w:r>
    </w:p>
    <w:p w14:paraId="6F1A689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drawing>
          <wp:inline distT="0" distB="0" distL="114300" distR="114300">
            <wp:extent cx="1076325" cy="962025"/>
            <wp:effectExtent l="0" t="0" r="9525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color w:val="000000"/>
        </w:rPr>
        <w:drawing>
          <wp:inline distT="0" distB="0" distL="114300" distR="114300">
            <wp:extent cx="1047750" cy="10287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drawing>
          <wp:inline distT="0" distB="0" distL="114300" distR="114300">
            <wp:extent cx="1076325" cy="1038225"/>
            <wp:effectExtent l="0" t="0" r="9525" b="952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color w:val="000000"/>
        </w:rPr>
        <w:drawing>
          <wp:inline distT="0" distB="0" distL="114300" distR="114300">
            <wp:extent cx="1171575" cy="9620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8BAA5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人体的胚胎在母体内发育的场所是（　　）</w:t>
      </w:r>
    </w:p>
    <w:p w14:paraId="4AF9A25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输卵管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子宫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卵巢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胎盘</w:t>
      </w:r>
    </w:p>
    <w:p w14:paraId="1731BDF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剪取月季的一段枝条插入土壤中，长成一个新个体，这种繁殖方式属于（　　）</w:t>
      </w:r>
    </w:p>
    <w:p w14:paraId="415249A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扦插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组织培养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嫁接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压条</w:t>
      </w:r>
    </w:p>
    <w:p w14:paraId="162F67B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蝗虫的个体发育属于不完全变态，据图判断其发育过程不经历的阶段是（　　）</w:t>
      </w:r>
    </w:p>
    <w:p w14:paraId="70E27F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543050" cy="1295400"/>
            <wp:effectExtent l="0" t="0" r="0" b="0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4B0F2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受精卵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幼虫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成虫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蛹</w:t>
      </w:r>
    </w:p>
    <w:p w14:paraId="5694C7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为积极应对人口老龄化，国家出台了“三胎政策”。一对夫妇已育有两个小孩，如果再生育一个孩子，是男孩的可能性为（　　）</w:t>
      </w:r>
    </w:p>
    <w:p w14:paraId="0B7D39B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0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25%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50%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100%</w:t>
      </w:r>
    </w:p>
    <w:p w14:paraId="2CD4813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下列属于不可遗传的变异是（　　）</w:t>
      </w:r>
    </w:p>
    <w:p w14:paraId="7384972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无光条件下长出的蒜苗是黄白色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经太空育种形成的太空椒</w:t>
      </w:r>
    </w:p>
    <w:p w14:paraId="57010C6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用杂交技术培育的高产抗倒伏小麦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利用转基因技术培育的抗虫棉</w:t>
      </w:r>
    </w:p>
    <w:p w14:paraId="778D410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下列现象能体现生物影响环境的是（　　）</w:t>
      </w:r>
    </w:p>
    <w:p w14:paraId="7C17A19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竹节虫的身体像竹枝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北极熊的体色是白色</w:t>
      </w:r>
    </w:p>
    <w:p w14:paraId="26AA6EA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荒漠中的骆驼刺根系发达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蚯蚓在土壤中的活动使土壤疏松</w:t>
      </w:r>
    </w:p>
    <w:p w14:paraId="2BB3D01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大面积烧伤患者易发生感染而产生严重后果，其主要原因是人体皮肤受损。皮肤属于人体免疫防线中的（　　）</w:t>
      </w:r>
    </w:p>
    <w:p w14:paraId="674ABD6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第一道防线</w:t>
      </w:r>
    </w:p>
    <w:p w14:paraId="1AC471B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第二道防线</w:t>
      </w:r>
    </w:p>
    <w:p w14:paraId="681807B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第三道防线</w:t>
      </w:r>
    </w:p>
    <w:p w14:paraId="4F4D77B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第四道防线</w:t>
      </w:r>
    </w:p>
    <w:p w14:paraId="03BA56D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人工呼吸属于一种紧急的急救措施，是用人为的方法，帮助呼吸停止的患者进行被动呼吸的过程，正确的操作顺序是（　　）</w:t>
      </w:r>
    </w:p>
    <w:p w14:paraId="06F159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181600" cy="11430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F2798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①②③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③①②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③②①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②①③</w:t>
      </w:r>
    </w:p>
    <w:p w14:paraId="09B8955B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二、非选择题（本大题包括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个小题，每空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30</w:t>
      </w:r>
      <w:r>
        <w:rPr>
          <w:rFonts w:ascii="宋体" w:hAnsi="宋体"/>
          <w:b/>
          <w:color w:val="000000"/>
          <w:sz w:val="24"/>
        </w:rPr>
        <w:t>分）</w:t>
      </w:r>
    </w:p>
    <w:p w14:paraId="502D93F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下面是动、植物细胞的结构模式图，请据图回答问题：</w:t>
      </w:r>
    </w:p>
    <w:p w14:paraId="4945AB8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133600" cy="1466850"/>
            <wp:effectExtent l="0" t="0" r="0" b="0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63D68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（1）制作人的口腔上皮细胞临时装片时，为了维持细胞的正常形态，在载玻片的中央应滴加________（“生理盐水”或“清水”），在显微镜下观察到的图像与图____________所示的结构相似。</w:t>
      </w:r>
    </w:p>
    <w:p w14:paraId="65E3994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（2）图中②表示的细胞结构是____________，它的作用是控制物质进出。</w:t>
      </w:r>
    </w:p>
    <w:p w14:paraId="2BE88E2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（3）经过霜冻后的萝卜吃起来有甜味，这些甜味物质主要储存于④____________内的细胞液中。</w:t>
      </w:r>
    </w:p>
    <w:p w14:paraId="5B12563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（4）生物体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遗传物质主要存在于③____________中，细胞数目的增加是通过____________（“细胞分裂”或“细胞分化”）实现的，新细胞与原细胞所含的遗传物质一样。</w:t>
      </w:r>
    </w:p>
    <w:p w14:paraId="637E180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为充分利用套袋技术提高葡萄果实的品质，科研人员对不同材质套袋的作用效果进行了对比，实验操作及结果如下所示：</w:t>
      </w:r>
    </w:p>
    <w:p w14:paraId="5AE76B7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924050" cy="19050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1290"/>
        <w:gridCol w:w="2340"/>
        <w:gridCol w:w="2130"/>
      </w:tblGrid>
      <w:tr w14:paraId="40F5B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6200D6C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组别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60190CA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处理方式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02E85CE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单粒果实质量（均值）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DAC3879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果实糖含量（均值）</w:t>
            </w:r>
          </w:p>
        </w:tc>
      </w:tr>
      <w:tr w14:paraId="07B6D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9F015DB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  <w:r>
              <w:rPr>
                <w:rFonts w:ascii="宋体" w:hAnsi="宋体"/>
                <w:color w:val="000000"/>
              </w:rPr>
              <w:t>组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3591BBE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不套袋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3B1ABF5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87</w:t>
            </w:r>
            <w:r>
              <w:rPr>
                <w:rFonts w:ascii="宋体" w:hAnsi="宋体"/>
                <w:color w:val="000000"/>
              </w:rPr>
              <w:t>．</w:t>
            </w:r>
            <w:r>
              <w:rPr>
                <w:rFonts w:eastAsia="Times New Roman" w:cs="Times New Roman"/>
                <w:color w:val="000000"/>
              </w:rPr>
              <w:t>22g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F37802F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15</w:t>
            </w:r>
            <w:r>
              <w:rPr>
                <w:rFonts w:ascii="宋体" w:hAnsi="宋体"/>
                <w:color w:val="000000"/>
              </w:rPr>
              <w:t>．</w:t>
            </w:r>
            <w:r>
              <w:rPr>
                <w:rFonts w:eastAsia="Times New Roman" w:cs="Times New Roman"/>
                <w:color w:val="000000"/>
              </w:rPr>
              <w:t>97%</w:t>
            </w:r>
          </w:p>
        </w:tc>
      </w:tr>
      <w:tr w14:paraId="3B167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0157C5E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  <w:r>
              <w:rPr>
                <w:rFonts w:ascii="宋体" w:hAnsi="宋体"/>
                <w:color w:val="000000"/>
              </w:rPr>
              <w:t>组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91262F9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无纺布袋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2CF631D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87</w:t>
            </w:r>
            <w:r>
              <w:rPr>
                <w:rFonts w:ascii="宋体" w:hAnsi="宋体"/>
                <w:color w:val="000000"/>
              </w:rPr>
              <w:t>．</w:t>
            </w:r>
            <w:r>
              <w:rPr>
                <w:rFonts w:eastAsia="Times New Roman" w:cs="Times New Roman"/>
                <w:color w:val="000000"/>
              </w:rPr>
              <w:t>29g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C6816D5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16</w:t>
            </w:r>
            <w:r>
              <w:rPr>
                <w:rFonts w:ascii="宋体" w:hAnsi="宋体"/>
                <w:color w:val="000000"/>
              </w:rPr>
              <w:t>．</w:t>
            </w:r>
            <w:r>
              <w:rPr>
                <w:rFonts w:eastAsia="Times New Roman" w:cs="Times New Roman"/>
                <w:color w:val="000000"/>
              </w:rPr>
              <w:t>18%</w:t>
            </w:r>
          </w:p>
        </w:tc>
      </w:tr>
      <w:tr w14:paraId="5E5DB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DD72BD8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  <w:r>
              <w:rPr>
                <w:rFonts w:ascii="宋体" w:hAnsi="宋体"/>
                <w:color w:val="000000"/>
              </w:rPr>
              <w:t>组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2AEC24B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透明塑料袋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DFD9598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87</w:t>
            </w:r>
            <w:r>
              <w:rPr>
                <w:rFonts w:ascii="宋体" w:hAnsi="宋体"/>
                <w:color w:val="000000"/>
              </w:rPr>
              <w:t>．</w:t>
            </w:r>
            <w:r>
              <w:rPr>
                <w:rFonts w:eastAsia="Times New Roman" w:cs="Times New Roman"/>
                <w:color w:val="000000"/>
              </w:rPr>
              <w:t>91g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EFAAE76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16</w:t>
            </w:r>
            <w:r>
              <w:rPr>
                <w:rFonts w:ascii="宋体" w:hAnsi="宋体"/>
                <w:color w:val="000000"/>
              </w:rPr>
              <w:t>．</w:t>
            </w:r>
            <w:r>
              <w:rPr>
                <w:rFonts w:eastAsia="Times New Roman" w:cs="Times New Roman"/>
                <w:color w:val="000000"/>
              </w:rPr>
              <w:t>15%</w:t>
            </w:r>
          </w:p>
        </w:tc>
      </w:tr>
      <w:tr w14:paraId="4CB5C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DD53D55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  <w:r>
              <w:rPr>
                <w:rFonts w:ascii="宋体" w:hAnsi="宋体"/>
                <w:color w:val="000000"/>
              </w:rPr>
              <w:t>组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DA95DA7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黄色蜡纸袋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8C167E0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88</w:t>
            </w:r>
            <w:r>
              <w:rPr>
                <w:rFonts w:ascii="宋体" w:hAnsi="宋体"/>
                <w:color w:val="000000"/>
              </w:rPr>
              <w:t>．</w:t>
            </w:r>
            <w:r>
              <w:rPr>
                <w:rFonts w:eastAsia="Times New Roman" w:cs="Times New Roman"/>
                <w:color w:val="000000"/>
              </w:rPr>
              <w:t>17g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9FA15AC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16</w:t>
            </w:r>
            <w:r>
              <w:rPr>
                <w:rFonts w:ascii="宋体" w:hAnsi="宋体"/>
                <w:color w:val="000000"/>
              </w:rPr>
              <w:t>．</w:t>
            </w:r>
            <w:r>
              <w:rPr>
                <w:rFonts w:eastAsia="Times New Roman" w:cs="Times New Roman"/>
                <w:color w:val="000000"/>
              </w:rPr>
              <w:t>22%</w:t>
            </w:r>
          </w:p>
        </w:tc>
      </w:tr>
    </w:tbl>
    <w:p w14:paraId="79145CB7">
      <w:pPr>
        <w:spacing w:line="360" w:lineRule="auto"/>
        <w:jc w:val="left"/>
        <w:textAlignment w:val="center"/>
        <w:rPr>
          <w:color w:val="000000"/>
        </w:rPr>
      </w:pPr>
    </w:p>
    <w:p w14:paraId="067FD36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（1）如上表所示，该实验中对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组样本的处理方式是___________，目的是____________________。</w:t>
      </w:r>
    </w:p>
    <w:p w14:paraId="0DDB87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（2）在测定各项指标时每组抽取</w:t>
      </w:r>
      <w:r>
        <w:rPr>
          <w:rFonts w:eastAsia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颗葡萄而不是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颗，是为了____________________。</w:t>
      </w:r>
    </w:p>
    <w:p w14:paraId="14032AE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（3）上述实验数据表明，实施套袋技术可在一定程度上提高葡萄果实的品质，选用________材质的袋子进行套袋，葡萄的品质更好。</w:t>
      </w:r>
    </w:p>
    <w:p w14:paraId="1C81D2A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（4）李时珍在《本草纲目》中写道：“葡萄，《汉书》作蒲桃，可造酒”。在葡萄酒的酿造过程，离不开_______的发酵作用，它是一种单细胞真菌，细胞内__________（“有”或“无”）成形的细胞核。</w:t>
      </w:r>
    </w:p>
    <w:p w14:paraId="350B170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为应对全球气候变化，我国提出在</w:t>
      </w:r>
      <w:r>
        <w:rPr>
          <w:rFonts w:eastAsia="Times New Roman" w:cs="Times New Roman"/>
          <w:color w:val="000000"/>
        </w:rPr>
        <w:t>2060</w:t>
      </w:r>
      <w:r>
        <w:rPr>
          <w:rFonts w:ascii="宋体" w:hAnsi="宋体"/>
          <w:color w:val="000000"/>
        </w:rPr>
        <w:t>年前实现“碳中和”，彰显了大国担当。“碳中和”是指通过多种途径、采取各种措施使排放的二氧化碳和消耗的二氧化碳总量相等。</w:t>
      </w:r>
    </w:p>
    <w:p w14:paraId="5141483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495675" cy="1847850"/>
            <wp:effectExtent l="0" t="0" r="9525" b="0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5675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9D7F2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（1）如上图所示，向生物圈排放二氧化碳的途径有动植物的__________作用、微生物对动植物遗体和排泄物的__________作用以及化石燃料的燃烧。</w:t>
      </w:r>
    </w:p>
    <w:p w14:paraId="1D061B8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（2）由上图可知，大气中二氧化碳的消耗只能依靠植物的__________作用。绿色植物能够通过叶绿体，利用光能，将二氧化碳和水转化成储存能量的有机物，并释放__________到大气中。</w:t>
      </w:r>
    </w:p>
    <w:p w14:paraId="12C6C13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（3）随着社会的发展，人类大量使用煤、石油等化石燃料，排入大气的二氧化碳量日益增加，已出现超过生物圈__________能力的趋势，通过人为干预减少二氧化碳的排放已是当务之急。</w:t>
      </w:r>
    </w:p>
    <w:p w14:paraId="222B09D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（4）为实现“碳中和”，在我们日常生活中，下列行为不可取的是</w:t>
      </w:r>
      <w:r>
        <w:rPr>
          <w:rFonts w:eastAsia="Times New Roman" w:cs="Times New Roman"/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14:paraId="29D632C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爱护植被，大力开展植树造林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选择公共交通工具出行</w:t>
      </w:r>
    </w:p>
    <w:p w14:paraId="00D6717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垃圾分类，回收处理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经常使用一次性餐具</w:t>
      </w:r>
    </w:p>
    <w:p w14:paraId="1AA531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新冠疫情居家隔离期间，小明购买了一个乒乓球训练器，经过一个月的训练不仅增强了体质，还让视力得到一定恢复，请据图回答问题：</w:t>
      </w:r>
    </w:p>
    <w:p w14:paraId="68A0120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662430"/>
            <wp:effectExtent l="0" t="0" r="0" b="1397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6626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0CAEC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（1）乒乓球反射的光线，经过晶状体等的折射作用，在__________（填序号）视网膜上形成物像，这些图像信息要经过③视神经传递到__________的特定区域，加工处理后才能形成视觉。</w:t>
      </w:r>
    </w:p>
    <w:p w14:paraId="1FFF36E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（2）使用乒乓球训练器时，⑤睫状体不断地收缩和舒张，调节_________（填序号）晶状体的曲度，在这个过程中睫状体得到有效的锻炼，从而有助于视力的恢复。</w:t>
      </w:r>
    </w:p>
    <w:p w14:paraId="706B72B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（3）图乙表示某校学生三年近视率调查结果，其变化趋势是____________________。</w:t>
      </w:r>
    </w:p>
    <w:p w14:paraId="7A64B15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（4）青少年近视是可以预防的，为了保护好视力，你应该怎么做？（答出一点即可）______________________________________________________。</w:t>
      </w:r>
    </w:p>
    <w:p w14:paraId="7D58033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全球棉花看中国，中国棉花看新疆。对棉田生态系统的综合治理有利于当地经济发展。请结合棉花的一生及新疆某棉区部分生物组成的食物网示意图，回答问题：</w:t>
      </w:r>
    </w:p>
    <w:p w14:paraId="15432E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746250"/>
            <wp:effectExtent l="0" t="0" r="0" b="6350"/>
            <wp:docPr id="100018" name="图片 1000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74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A75B0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（1）如图甲所示，棉花是通过产生__________来繁殖后代的，这种生殖方式属于有性生殖。</w:t>
      </w:r>
    </w:p>
    <w:p w14:paraId="5120F74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（2）根系从土壤中吸收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水分通过导管向上运输，其运输动力主要来自棉花植株的__________作用，大部分水通过叶片的__________散失到大气中去，从而参与生物圈的水循环。</w:t>
      </w:r>
    </w:p>
    <w:p w14:paraId="038DA50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（3）根据图乙可判断，该棉田生态系统中有__________条食物链，其中七星瓢虫和棉蚜的种间关系是__________（“捕食”或“竞争”）</w:t>
      </w:r>
    </w:p>
    <w:p w14:paraId="0FEAA27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（4）控制棉田中棉蚜和棉长管蚜等害虫数量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方法主要有两种，请结合棉区的食物网，利用生态系统相关知识，选择一种合理的防治方法并简要说出理由。</w:t>
      </w:r>
    </w:p>
    <w:p w14:paraId="50AB4C7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．生物防治：合理引入棉蚜、棉长管蚜的天敌七星瓢虫或草蛉</w:t>
      </w:r>
    </w:p>
    <w:p w14:paraId="6A35A10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．农药防治：大面积喷洒灭虫农药</w:t>
      </w:r>
    </w:p>
    <w:p w14:paraId="6BFFEEDA">
      <w:pPr>
        <w:spacing w:line="360" w:lineRule="auto"/>
        <w:jc w:val="left"/>
        <w:textAlignment w:val="center"/>
      </w:pPr>
      <w:r>
        <w:rPr>
          <w:rFonts w:ascii="宋体" w:hAnsi="宋体"/>
          <w:color w:val="000000"/>
        </w:rPr>
        <w:t>你选择的防治方法是__________，理由是___________________________（答出一点即可）。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9D26E9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7FFD30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4650A4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6825AC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E32EF9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96E7CE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9116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87022"/>
    <w:rsid w:val="00FA0944"/>
    <w:rsid w:val="00FB34D2"/>
    <w:rsid w:val="00FB4B17"/>
    <w:rsid w:val="00FC5860"/>
    <w:rsid w:val="00FD377B"/>
    <w:rsid w:val="00FF2D79"/>
    <w:rsid w:val="00FF517A"/>
    <w:rsid w:val="221564E3"/>
    <w:rsid w:val="2B315F21"/>
    <w:rsid w:val="38274566"/>
    <w:rsid w:val="4CF14A2B"/>
    <w:rsid w:val="5CB62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0" Type="http://schemas.openxmlformats.org/officeDocument/2006/relationships/fontTable" Target="fontTable.xml"/><Relationship Id="rId3" Type="http://schemas.openxmlformats.org/officeDocument/2006/relationships/header" Target="header1.xml"/><Relationship Id="rId29" Type="http://schemas.openxmlformats.org/officeDocument/2006/relationships/customXml" Target="../customXml/item1.xml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wmf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7D0A3A-DE23-4200-82F7-430B8AA67BF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2920</Words>
  <Characters>3458</Characters>
  <Lines>26</Lines>
  <Paragraphs>7</Paragraphs>
  <TotalTime>0</TotalTime>
  <ScaleCrop>false</ScaleCrop>
  <LinksUpToDate>false</LinksUpToDate>
  <CharactersWithSpaces>3656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2022-06-16T12:10:00Z</dcterms:created>
  <dc:creator>学科网试题生产平台</dc:creator>
  <dc:description>3001313708490752</dc:description>
  <cp:lastModifiedBy>上帝掷骰子吗</cp:lastModifiedBy>
  <dcterms:modified xsi:type="dcterms:W3CDTF">2024-07-20T16:08:03Z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85AEADEE13C44473B5DB4D39FCC9D42D</vt:lpwstr>
  </property>
</Properties>
</file>