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FFF3C3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11328400</wp:posOffset>
            </wp:positionH>
            <wp:positionV relativeFrom="topMargin">
              <wp:posOffset>12687300</wp:posOffset>
            </wp:positionV>
            <wp:extent cx="342900" cy="368300"/>
            <wp:effectExtent l="0" t="0" r="0" b="12700"/>
            <wp:wrapNone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年北京市初中学业水平考试</w:t>
      </w:r>
    </w:p>
    <w:p w14:paraId="07078EDA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生物试卷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81"/>
        <w:gridCol w:w="8230"/>
      </w:tblGrid>
      <w:tr w14:paraId="29EE7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92B610">
            <w:pPr>
              <w:spacing w:line="360" w:lineRule="auto"/>
              <w:jc w:val="both"/>
            </w:pPr>
            <w:r>
              <w:rPr>
                <w:rFonts w:ascii="宋体" w:hAnsi="宋体" w:eastAsia="宋体" w:cs="宋体"/>
                <w:b/>
                <w:color w:val="auto"/>
                <w:sz w:val="24"/>
              </w:rPr>
              <w:t>考</w:t>
            </w:r>
          </w:p>
          <w:p w14:paraId="3C4D6876">
            <w:pPr>
              <w:spacing w:line="360" w:lineRule="auto"/>
              <w:jc w:val="both"/>
            </w:pPr>
            <w:r>
              <w:rPr>
                <w:rFonts w:ascii="宋体" w:hAnsi="宋体" w:eastAsia="宋体" w:cs="宋体"/>
                <w:b/>
                <w:color w:val="auto"/>
                <w:sz w:val="24"/>
              </w:rPr>
              <w:t>生</w:t>
            </w:r>
          </w:p>
          <w:p w14:paraId="6E808FA6">
            <w:pPr>
              <w:spacing w:line="360" w:lineRule="auto"/>
              <w:jc w:val="both"/>
            </w:pPr>
            <w:r>
              <w:rPr>
                <w:rFonts w:ascii="宋体" w:hAnsi="宋体" w:eastAsia="宋体" w:cs="宋体"/>
                <w:b/>
                <w:color w:val="auto"/>
                <w:sz w:val="24"/>
              </w:rPr>
              <w:t>须</w:t>
            </w:r>
          </w:p>
          <w:p w14:paraId="7833BDDA">
            <w:pPr>
              <w:spacing w:line="360" w:lineRule="auto"/>
              <w:jc w:val="both"/>
            </w:pPr>
            <w:r>
              <w:rPr>
                <w:rFonts w:ascii="宋体" w:hAnsi="宋体" w:eastAsia="宋体" w:cs="宋体"/>
                <w:b/>
                <w:color w:val="auto"/>
                <w:sz w:val="24"/>
              </w:rPr>
              <w:t>知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3B9D8D">
            <w:pPr>
              <w:spacing w:line="360" w:lineRule="auto"/>
              <w:jc w:val="both"/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1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．本试卷共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8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页，共两部分，共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32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题，满分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70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分。考试时间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70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分钟。</w:t>
            </w:r>
          </w:p>
          <w:p w14:paraId="5C411039">
            <w:pPr>
              <w:spacing w:line="360" w:lineRule="auto"/>
              <w:jc w:val="both"/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2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．在试卷和草稿纸上准确填写姓名、准考证号、考场号和座位号。</w:t>
            </w:r>
          </w:p>
          <w:p w14:paraId="6667CDA8">
            <w:pPr>
              <w:spacing w:line="360" w:lineRule="auto"/>
              <w:jc w:val="both"/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3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．试题答案一律填涂或书写在答题卡上，在试卷上作答无效。</w:t>
            </w:r>
          </w:p>
          <w:p w14:paraId="4B681B30">
            <w:pPr>
              <w:spacing w:line="360" w:lineRule="auto"/>
              <w:jc w:val="both"/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4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．在答题卡上，选择题用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2B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铅笔作答，其他试题用黑色字迹签字笔作答。</w:t>
            </w:r>
          </w:p>
          <w:p w14:paraId="3B690390">
            <w:pPr>
              <w:spacing w:line="360" w:lineRule="auto"/>
              <w:jc w:val="both"/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5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．考试结束，将本试卷、答题卡和草稿纸一并交回。</w:t>
            </w:r>
          </w:p>
        </w:tc>
      </w:tr>
    </w:tbl>
    <w:p w14:paraId="75D0D356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第一部分</w:t>
      </w:r>
    </w:p>
    <w:p w14:paraId="3B8FB172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本部分共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25</w:t>
      </w:r>
      <w:r>
        <w:rPr>
          <w:rFonts w:ascii="宋体" w:hAnsi="宋体" w:eastAsia="宋体" w:cs="宋体"/>
          <w:b/>
          <w:color w:val="auto"/>
          <w:sz w:val="24"/>
        </w:rPr>
        <w:t>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25</w:t>
      </w:r>
      <w:r>
        <w:rPr>
          <w:rFonts w:ascii="宋体" w:hAnsi="宋体" w:eastAsia="宋体" w:cs="宋体"/>
          <w:b/>
          <w:color w:val="auto"/>
          <w:sz w:val="24"/>
        </w:rPr>
        <w:t>分。在每题列出的四个选项中，选出最符合题目要求的一项。</w:t>
      </w:r>
    </w:p>
    <w:p w14:paraId="24944256">
      <w:pPr>
        <w:spacing w:line="360" w:lineRule="auto"/>
        <w:jc w:val="left"/>
      </w:pPr>
      <w:r>
        <w:rPr>
          <w:color w:val="auto"/>
        </w:rPr>
        <w:t>1. 除病毒外，生物体结构和功能的基本单位是（ ）</w:t>
      </w:r>
    </w:p>
    <w:p w14:paraId="14A31CD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>A. 组织</w:t>
      </w:r>
      <w:r>
        <w:tab/>
      </w:r>
      <w:r>
        <w:t>B. 细胞</w:t>
      </w:r>
      <w:r>
        <w:tab/>
      </w:r>
      <w:r>
        <w:t>C. 器官</w:t>
      </w:r>
      <w:r>
        <w:tab/>
      </w:r>
      <w:r>
        <w:t>D. 系统</w:t>
      </w:r>
    </w:p>
    <w:p w14:paraId="253C35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下列由一个细胞构成，能独立完成生命活动的生物是（　　）</w:t>
      </w:r>
    </w:p>
    <w:p w14:paraId="4751924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水螅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草履虫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水绵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线虫</w:t>
      </w:r>
    </w:p>
    <w:p w14:paraId="473412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在显微镜下观察洋葱鳞片叶内表皮临时装片，视野如下图。下列相关叙述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　　）</w:t>
      </w:r>
    </w:p>
    <w:p w14:paraId="4BF9FF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71625" cy="10953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2E1335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①为洋葱鳞片叶内表皮细胞</w:t>
      </w:r>
    </w:p>
    <w:p w14:paraId="383BDF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②可能是由于加盖盖玻片操作不规范引起的</w:t>
      </w:r>
    </w:p>
    <w:p w14:paraId="3CCF47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用碘液染色后能够更清晰地观察到细胞核</w:t>
      </w:r>
    </w:p>
    <w:p w14:paraId="0A20F5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细胞的放大倍数为目镜与物镜放大倍数之和</w:t>
      </w:r>
    </w:p>
    <w:p w14:paraId="2B016F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正常情况下，人体细胞在形态、结构和生理功能上发生差异，形成多种类型细胞的过程称为（　　）</w:t>
      </w:r>
    </w:p>
    <w:p w14:paraId="7ED6AF0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细胞分裂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细胞生长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细胞分化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细胞衰老</w:t>
      </w:r>
    </w:p>
    <w:p w14:paraId="4776A8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“海洋牧场”有重要的经济价值和生态价值。它是指在特定海域内，人工投放藻类、贝类和鱼虾等海洋经济生物种苗，利用海洋中的天然饵料等进行集中养殖和科学管理，类似于在陆地上放牧牛羊。下列关于“海洋牧场”的叙述错误的是（　　）</w:t>
      </w:r>
    </w:p>
    <w:p w14:paraId="758F1DE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属于海洋生态系统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能量最终来源于太阳能</w:t>
      </w:r>
    </w:p>
    <w:p w14:paraId="61FDE7D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其中的藻类可以制造有机物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有无限的自我（动）调节能力</w:t>
      </w:r>
    </w:p>
    <w:p w14:paraId="4D7178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甜椒的花中能够发育形成果实的结构是（　　）</w:t>
      </w:r>
    </w:p>
    <w:p w14:paraId="5E112E8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雌蕊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雄蕊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胚珠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子房</w:t>
      </w:r>
    </w:p>
    <w:p w14:paraId="6BA622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用黄豆种子发豆芽，下列做法</w:t>
      </w:r>
      <w:r>
        <w:rPr>
          <w:rFonts w:ascii="宋体" w:hAnsi="宋体" w:eastAsia="宋体" w:cs="宋体"/>
          <w:color w:val="000000"/>
          <w:em w:val="dot"/>
        </w:rPr>
        <w:t>不合理</w:t>
      </w:r>
      <w:r>
        <w:rPr>
          <w:rFonts w:ascii="宋体" w:hAnsi="宋体" w:eastAsia="宋体" w:cs="宋体"/>
          <w:color w:val="000000"/>
        </w:rPr>
        <w:t>的是（　　）</w:t>
      </w:r>
    </w:p>
    <w:p w14:paraId="4336BBB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选取籽粒饱满的种子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提供适宜的发芽温度</w:t>
      </w:r>
    </w:p>
    <w:p w14:paraId="0B3EACE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种子始终浸没在水中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发芽过程保持通风透气</w:t>
      </w:r>
    </w:p>
    <w:p w14:paraId="3E2890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平衡膳食能最大程度地满足人体的营养需要，保证健康。下列做法</w:t>
      </w:r>
      <w:r>
        <w:rPr>
          <w:rFonts w:ascii="宋体" w:hAnsi="宋体" w:eastAsia="宋体" w:cs="宋体"/>
          <w:color w:val="000000"/>
          <w:em w:val="dot"/>
        </w:rPr>
        <w:t>不符合</w:t>
      </w:r>
      <w:r>
        <w:rPr>
          <w:rFonts w:ascii="宋体" w:hAnsi="宋体" w:eastAsia="宋体" w:cs="宋体"/>
          <w:color w:val="000000"/>
        </w:rPr>
        <w:t>平衡膳食的是（　　）</w:t>
      </w:r>
    </w:p>
    <w:p w14:paraId="33D2CA0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不吃早餐，偏食挑食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吃动平衡，健康体重</w:t>
      </w:r>
    </w:p>
    <w:p w14:paraId="7C5F948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规律进餐，适量饮水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食物多样，合理搭配</w:t>
      </w:r>
    </w:p>
    <w:p w14:paraId="446057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同学们按下图所示进行实验，一段时间后向两支试管中分别滴加碘液，观察颜色变化。下列叙述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　　）</w:t>
      </w:r>
    </w:p>
    <w:p w14:paraId="327352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00300" cy="14001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EDD5CF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目的是探究唾液对淀粉的消化作用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试管中的液体需要充分混合均匀</w:t>
      </w:r>
    </w:p>
    <w:p w14:paraId="775A7D3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水浴温度为</w:t>
      </w:r>
      <w:r>
        <w:rPr>
          <w:rFonts w:ascii="Times New Roman" w:hAnsi="Times New Roman" w:eastAsia="Times New Roman" w:cs="Times New Roman"/>
          <w:color w:val="000000"/>
        </w:rPr>
        <w:t>37</w:t>
      </w:r>
      <w:r>
        <w:rPr>
          <w:rFonts w:ascii="宋体" w:hAnsi="宋体" w:eastAsia="宋体" w:cs="宋体"/>
          <w:color w:val="000000"/>
        </w:rPr>
        <w:t>℃，模拟了人体体温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号试管溶液的蓝色比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号试管的深</w:t>
      </w:r>
    </w:p>
    <w:p w14:paraId="08784F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血液成分中，富含血红蛋白，具有运输氧功能的是（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1F3B73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55" name="图片 100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图片 10005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白细胞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红细胞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血小板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血浆</w:t>
      </w:r>
    </w:p>
    <w:p w14:paraId="0E2D4E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一位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型血的外伤患者需要大量输血，应为他输入（　　）</w:t>
      </w:r>
    </w:p>
    <w:p w14:paraId="2AAACCA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型血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型血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型血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型血</w:t>
      </w:r>
    </w:p>
    <w:p w14:paraId="265B11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人体产生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57" name="图片 100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代谢废物主要以尿液的形式排出体外。健康人的尿液中一般</w:t>
      </w:r>
      <w:r>
        <w:rPr>
          <w:rFonts w:ascii="宋体" w:hAnsi="宋体" w:eastAsia="宋体" w:cs="宋体"/>
          <w:color w:val="000000"/>
          <w:em w:val="dot"/>
        </w:rPr>
        <w:t>不含</w:t>
      </w:r>
      <w:r>
        <w:rPr>
          <w:rFonts w:ascii="宋体" w:hAnsi="宋体" w:eastAsia="宋体" w:cs="宋体"/>
          <w:color w:val="000000"/>
        </w:rPr>
        <w:t>（　　）</w:t>
      </w:r>
    </w:p>
    <w:p w14:paraId="4B45354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血细胞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尿素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无机盐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尿酸</w:t>
      </w:r>
    </w:p>
    <w:p w14:paraId="587019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下列关于人体肺泡的叙述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　　）</w:t>
      </w:r>
    </w:p>
    <w:p w14:paraId="137E08E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肺泡数目多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肺泡是细支气管末端膨大形成的</w:t>
      </w:r>
    </w:p>
    <w:p w14:paraId="2797D86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肺泡壁很薄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血液流经肺泡外毛细血管后氧气减少</w:t>
      </w:r>
    </w:p>
    <w:p w14:paraId="06A471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下图为反射弧结构示意图，相关叙述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　　）</w:t>
      </w:r>
    </w:p>
    <w:p w14:paraId="55E8A1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33650" cy="10382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  </w:t>
      </w:r>
    </w:p>
    <w:p w14:paraId="337D901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反射弧是反射的结构基础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骨骼肌是感受器</w:t>
      </w:r>
    </w:p>
    <w:p w14:paraId="3E52849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①是传入神经纤维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脊髓是低级神经中枢</w:t>
      </w:r>
    </w:p>
    <w:p w14:paraId="4A0ECF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下图为关节结构示意图，关于关节的结构和功能对应</w:t>
      </w:r>
      <w:r>
        <w:rPr>
          <w:rFonts w:ascii="宋体" w:hAnsi="宋体" w:eastAsia="宋体" w:cs="宋体"/>
          <w:color w:val="000000"/>
          <w:em w:val="dot"/>
        </w:rPr>
        <w:t>有误</w:t>
      </w:r>
      <w:r>
        <w:rPr>
          <w:rFonts w:ascii="宋体" w:hAnsi="宋体" w:eastAsia="宋体" w:cs="宋体"/>
          <w:color w:val="000000"/>
        </w:rPr>
        <w:t>的是（　　）</w:t>
      </w:r>
    </w:p>
    <w:p w14:paraId="7D49A4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90700" cy="15240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6A016CC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关节囊——使关节更加牢固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关节腔——内有减少摩擦的滑液</w:t>
      </w:r>
    </w:p>
    <w:p w14:paraId="338EB9B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关节头和关节窝——适于肌肉附着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关节软骨——起到缓冲作用</w:t>
      </w:r>
    </w:p>
    <w:p w14:paraId="192EFA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下列动物行为中属于学习行为的是（　　）</w:t>
      </w:r>
    </w:p>
    <w:p w14:paraId="516D391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蜘蛛结网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青蛙冬眠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警犬搜救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孔雀开屏</w:t>
      </w:r>
    </w:p>
    <w:p w14:paraId="066961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人类精子与卵细胞结合成受精卵的场所是（    ）</w:t>
      </w:r>
    </w:p>
    <w:p w14:paraId="49B2670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卵巢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输卵管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子宫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胎盘</w:t>
      </w:r>
    </w:p>
    <w:p w14:paraId="2C8784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为选育再生稻新品种，我国航天员将再生稻种子带入太空。该育种方式是希望通过射线和微重力等因素的作用，从根本上改变再生稻（　　）</w:t>
      </w:r>
    </w:p>
    <w:p w14:paraId="0D99546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细胞的分裂方式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种子的营养物质</w:t>
      </w:r>
    </w:p>
    <w:p w14:paraId="7EE64D1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细胞的遗传物质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种子的形态结构</w:t>
      </w:r>
    </w:p>
    <w:p w14:paraId="4B68A4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果蝇是遗传学研究中的模式生物，其性别决定方式与人的相同。下图为某果蝇体细胞中染色体组成图，相关叙述正确的是（　　）</w:t>
      </w:r>
    </w:p>
    <w:p w14:paraId="4EEA00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14475" cy="14478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A5887C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染色体主要由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和蛋白质组成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果蝇体细胞中有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对染色体</w:t>
      </w:r>
    </w:p>
    <w:p w14:paraId="7015ED4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该果蝇为雌性个体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该果蝇只产生一种生殖细胞</w:t>
      </w:r>
    </w:p>
    <w:p w14:paraId="0FEFD2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秋冬季节易发生流行性感冒，下列预防措施</w:t>
      </w:r>
      <w:r>
        <w:rPr>
          <w:rFonts w:ascii="宋体" w:hAnsi="宋体" w:eastAsia="宋体" w:cs="宋体"/>
          <w:color w:val="000000"/>
          <w:em w:val="dot"/>
        </w:rPr>
        <w:t>不合理</w:t>
      </w:r>
      <w:r>
        <w:rPr>
          <w:rFonts w:ascii="宋体" w:hAnsi="宋体" w:eastAsia="宋体" w:cs="宋体"/>
          <w:color w:val="000000"/>
        </w:rPr>
        <w:t>的是（　　）</w:t>
      </w:r>
    </w:p>
    <w:p w14:paraId="0663CD2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始终紧闭门窗可以保护易感人群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佩戴口罩可以切断传播途径</w:t>
      </w:r>
    </w:p>
    <w:p w14:paraId="1C9ADB2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尽量避免聚集可以减少感染机会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锻炼身体可以提高抗病能力</w:t>
      </w:r>
    </w:p>
    <w:p w14:paraId="7D2839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下列免疫过程，</w:t>
      </w:r>
      <w:r>
        <w:rPr>
          <w:rFonts w:ascii="宋体" w:hAnsi="宋体" w:eastAsia="宋体" w:cs="宋体"/>
          <w:color w:val="000000"/>
          <w:em w:val="dot"/>
        </w:rPr>
        <w:t>不属于</w:t>
      </w:r>
      <w:r>
        <w:rPr>
          <w:rFonts w:ascii="宋体" w:hAnsi="宋体" w:eastAsia="宋体" w:cs="宋体"/>
          <w:color w:val="000000"/>
        </w:rPr>
        <w:t>非特异性免疫的是（　　）</w:t>
      </w:r>
    </w:p>
    <w:p w14:paraId="556A44B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呼吸道黏膜上的纤毛清扫异物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白细胞吞噬病菌</w:t>
      </w:r>
    </w:p>
    <w:p w14:paraId="4FD798C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接种麻疹疫苗后产生相应抗体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溶菌酶杀死细菌</w:t>
      </w:r>
    </w:p>
    <w:p w14:paraId="3D7168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叶海龙是一种海洋动物，以漂浮的海藻和游近的小虾为食。它全身覆盖的叶状附肢并非用来游泳，而是使自身完美地融入周围的大型海藻中、下图中①</w:t>
      </w:r>
      <w:r>
        <w:rPr>
          <w:rFonts w:ascii="Times New Roman" w:hAnsi="Times New Roman" w:eastAsia="Times New Roman" w:cs="Times New Roman"/>
          <w:color w:val="000000"/>
        </w:rPr>
        <w:t>~</w:t>
      </w:r>
      <w:r>
        <w:rPr>
          <w:rFonts w:ascii="宋体" w:hAnsi="宋体" w:eastAsia="宋体" w:cs="宋体"/>
          <w:color w:val="000000"/>
        </w:rPr>
        <w:t>④代表的生物与其存在或远或近的亲缘关系。下列关于叶海龙的叙述，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　　）</w:t>
      </w:r>
    </w:p>
    <w:p w14:paraId="61983F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38500" cy="147637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B04300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属于海洋生态系统中的消费者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叶状附肢有利于隐藏自身</w:t>
      </w:r>
    </w:p>
    <w:p w14:paraId="7E0DF2C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其形态结构是自然选择的结果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图中与其亲缘关系最远的是④</w:t>
      </w:r>
    </w:p>
    <w:p w14:paraId="0B86DD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《中国生物物种名录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版》正式发布，共收录物种</w:t>
      </w:r>
      <w:r>
        <w:rPr>
          <w:rFonts w:ascii="Times New Roman" w:hAnsi="Times New Roman" w:eastAsia="Times New Roman" w:cs="Times New Roman"/>
          <w:color w:val="000000"/>
        </w:rPr>
        <w:t>135061</w:t>
      </w:r>
      <w:r>
        <w:rPr>
          <w:rFonts w:ascii="宋体" w:hAnsi="宋体" w:eastAsia="宋体" w:cs="宋体"/>
          <w:color w:val="000000"/>
        </w:rPr>
        <w:t>种，其中动物就有</w:t>
      </w:r>
      <w:r>
        <w:rPr>
          <w:rFonts w:ascii="Times New Roman" w:hAnsi="Times New Roman" w:eastAsia="Times New Roman" w:cs="Times New Roman"/>
          <w:color w:val="000000"/>
        </w:rPr>
        <w:t>13861</w:t>
      </w:r>
      <w:r>
        <w:rPr>
          <w:rFonts w:ascii="宋体" w:hAnsi="宋体" w:eastAsia="宋体" w:cs="宋体"/>
          <w:color w:val="000000"/>
        </w:rPr>
        <w:t>属，</w:t>
      </w:r>
      <w:r>
        <w:rPr>
          <w:rFonts w:ascii="Times New Roman" w:hAnsi="Times New Roman" w:eastAsia="Times New Roman" w:cs="Times New Roman"/>
          <w:color w:val="000000"/>
        </w:rPr>
        <w:t>65362</w:t>
      </w:r>
      <w:r>
        <w:rPr>
          <w:rFonts w:ascii="宋体" w:hAnsi="宋体" w:eastAsia="宋体" w:cs="宋体"/>
          <w:color w:val="000000"/>
        </w:rPr>
        <w:t>种。与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版比较，新增</w:t>
      </w:r>
      <w:r>
        <w:rPr>
          <w:rFonts w:ascii="Times New Roman" w:hAnsi="Times New Roman" w:eastAsia="Times New Roman" w:cs="Times New Roman"/>
          <w:color w:val="000000"/>
        </w:rPr>
        <w:t>10027</w:t>
      </w:r>
      <w:r>
        <w:rPr>
          <w:rFonts w:ascii="宋体" w:hAnsi="宋体" w:eastAsia="宋体" w:cs="宋体"/>
          <w:color w:val="000000"/>
        </w:rPr>
        <w:t>种。下列相关叙述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　　）</w:t>
      </w:r>
    </w:p>
    <w:p w14:paraId="63BDE43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种是最基本的分类单位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同属比同种的生物相似程度更高</w:t>
      </w:r>
    </w:p>
    <w:p w14:paraId="3675AFA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名录可以反映我国生物多样性现状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物种数量的增加与生态环境改善有关</w:t>
      </w:r>
    </w:p>
    <w:p w14:paraId="26A39C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红豆杉是我国一级保护植物，其种子无果皮包被，颜色鲜红。红豆杉在分类中属于（　　）</w:t>
      </w:r>
    </w:p>
    <w:p w14:paraId="6598ABF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苔藓植物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蕨类植物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裸子植物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被子植物</w:t>
      </w:r>
    </w:p>
    <w:p w14:paraId="6C9B38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某药品说明书内容节选如下图，关于该药物的叙述正确的是（　　）</w:t>
      </w:r>
    </w:p>
    <w:p w14:paraId="5B2863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95575" cy="14478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D888EE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需凭医生开具的处方才能购买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适用于消化不良患者的治疗</w:t>
      </w:r>
    </w:p>
    <w:p w14:paraId="1966427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病症严重时应加倍服用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超过有效期仍然可以服用</w:t>
      </w:r>
    </w:p>
    <w:p w14:paraId="7EAB41A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第二部分</w:t>
      </w:r>
    </w:p>
    <w:p w14:paraId="2F64DFD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本部分共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45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4DF57E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在学校开展的实践活动中，小林尝试利用天然酵母菌发面，制作馒头。他的实践记录单如下，请将该记录补充完整。</w:t>
      </w:r>
    </w:p>
    <w:p w14:paraId="2A4355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实践记录单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495"/>
        <w:gridCol w:w="5700"/>
      </w:tblGrid>
      <w:tr w14:paraId="72B3C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77E6C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实践目的</w:t>
            </w:r>
          </w:p>
          <w:p w14:paraId="0F5FFFC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457325" cy="971550"/>
                  <wp:effectExtent l="0" t="0" r="0" b="0"/>
                  <wp:docPr id="100017" name="图片 10001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图片 10001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7325" cy="9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  <w:p w14:paraId="622299C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酵母菌属于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（填“细</w:t>
            </w:r>
          </w:p>
          <w:p w14:paraId="1D8A14F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菌”或“真菌”），在自然界分布广</w:t>
            </w:r>
          </w:p>
          <w:p w14:paraId="2863C22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泛。我想利用水果表面的天然酵母</w:t>
            </w:r>
          </w:p>
          <w:p w14:paraId="00B1FC6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菌制作果味馒头。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79474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菌种选择</w:t>
            </w:r>
          </w:p>
          <w:p w14:paraId="7626CA3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2476500" cy="1828800"/>
                  <wp:effectExtent l="0" t="0" r="0" b="0"/>
                  <wp:docPr id="100019" name="图片 10001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图片 10001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0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  <w:p w14:paraId="57213DD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将葡萄和番茄表皮上的酵母菌分别与葡萄糖溶液混合，检测</w:t>
            </w:r>
          </w:p>
          <w:p w14:paraId="5DDD452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它们的发酵能力，结果如图。因为葡萄组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，我选</w:t>
            </w:r>
          </w:p>
          <w:p w14:paraId="6E172A1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择用葡萄表皮上的酵母菌来发面。</w:t>
            </w:r>
          </w:p>
        </w:tc>
      </w:tr>
      <w:tr w14:paraId="6AC75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4E5D8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馒头制作</w:t>
            </w:r>
          </w:p>
          <w:p w14:paraId="12E5E15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2047875" cy="838200"/>
                  <wp:effectExtent l="0" t="0" r="0" b="0"/>
                  <wp:docPr id="100021" name="图片 10002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1" name="图片 10002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7875" cy="83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  <w:p w14:paraId="2609E8C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和面时要用温水，如果用开水，会</w:t>
            </w:r>
          </w:p>
          <w:p w14:paraId="7831B86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使酵母菌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，影响后续发</w:t>
            </w:r>
          </w:p>
          <w:p w14:paraId="6E4C1D0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面过程。</w:t>
            </w:r>
          </w:p>
          <w:p w14:paraId="7DA932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我尝试在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23</w:t>
            </w:r>
            <w:r>
              <w:rPr>
                <w:rFonts w:ascii="宋体" w:hAnsi="宋体" w:eastAsia="宋体" w:cs="宋体"/>
                <w:color w:val="000000"/>
              </w:rPr>
              <w:t>℃、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28</w:t>
            </w:r>
            <w:r>
              <w:rPr>
                <w:rFonts w:ascii="宋体" w:hAnsi="宋体" w:eastAsia="宋体" w:cs="宋体"/>
                <w:color w:val="000000"/>
              </w:rPr>
              <w:t>℃和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33</w:t>
            </w:r>
            <w:r>
              <w:rPr>
                <w:rFonts w:ascii="宋体" w:hAnsi="宋体" w:eastAsia="宋体" w:cs="宋体"/>
                <w:color w:val="000000"/>
              </w:rPr>
              <w:t>℃条件</w:t>
            </w:r>
          </w:p>
          <w:p w14:paraId="2AB89E0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下发面，由于酵母菌发酵产生了</w:t>
            </w:r>
          </w:p>
          <w:p w14:paraId="5559D61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（填气体名称），面团</w:t>
            </w:r>
          </w:p>
          <w:p w14:paraId="6C9A594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膨大至原来的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1.4</w:t>
            </w:r>
            <w:r>
              <w:rPr>
                <w:rFonts w:ascii="宋体" w:hAnsi="宋体" w:eastAsia="宋体" w:cs="宋体"/>
                <w:color w:val="000000"/>
              </w:rPr>
              <w:t>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1.7</w:t>
            </w:r>
            <w:r>
              <w:rPr>
                <w:rFonts w:ascii="宋体" w:hAnsi="宋体" w:eastAsia="宋体" w:cs="宋体"/>
                <w:color w:val="000000"/>
              </w:rPr>
              <w:t>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1.8</w:t>
            </w:r>
            <w:r>
              <w:rPr>
                <w:rFonts w:ascii="宋体" w:hAnsi="宋体" w:eastAsia="宋体" w:cs="宋体"/>
                <w:color w:val="000000"/>
              </w:rPr>
              <w:t>倍。</w:t>
            </w:r>
          </w:p>
          <w:p w14:paraId="5980D93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经过蒸制过程，馒头制作完成。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8FCA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品鉴与反思</w:t>
            </w:r>
          </w:p>
          <w:p w14:paraId="08379BC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476375" cy="1200150"/>
                  <wp:effectExtent l="0" t="0" r="0" b="0"/>
                  <wp:docPr id="100023" name="图片 10002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3" name="图片 10002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6375" cy="1200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  <w:p w14:paraId="106D3C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邀请同学们品尝我的劳动成果，并进行评价，结果如下表。</w:t>
            </w:r>
          </w:p>
          <w:tbl>
            <w:tblPr>
              <w:tblStyle w:val="4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120" w:type="dxa"/>
                <w:left w:w="120" w:type="dxa"/>
                <w:bottom w:w="120" w:type="dxa"/>
                <w:right w:w="120" w:type="dxa"/>
              </w:tblCellMar>
            </w:tblPr>
            <w:tblGrid>
              <w:gridCol w:w="870"/>
              <w:gridCol w:w="1003"/>
              <w:gridCol w:w="761"/>
              <w:gridCol w:w="760"/>
              <w:gridCol w:w="761"/>
            </w:tblGrid>
            <w:tr w14:paraId="76EDAF1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120" w:type="dxa"/>
                  <w:left w:w="120" w:type="dxa"/>
                  <w:bottom w:w="120" w:type="dxa"/>
                  <w:right w:w="120" w:type="dxa"/>
                </w:tblCellMar>
              </w:tblPrEx>
              <w:trPr>
                <w:trHeight w:val="330" w:hRule="atLeast"/>
              </w:trPr>
              <w:tc>
                <w:tcPr>
                  <w:vMerge w:val="restart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33D52D24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温度</w:t>
                  </w:r>
                </w:p>
                <w:p w14:paraId="2ECA5877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（℃）</w:t>
                  </w:r>
                </w:p>
              </w:tc>
              <w:tc>
                <w:tcPr>
                  <w:gridSpan w:val="4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53F5398F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感官评价（各项满分均为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10</w:t>
                  </w:r>
                  <w:r>
                    <w:rPr>
                      <w:rFonts w:ascii="宋体" w:hAnsi="宋体" w:eastAsia="宋体" w:cs="宋体"/>
                      <w:color w:val="000000"/>
                    </w:rPr>
                    <w:t>分）</w:t>
                  </w:r>
                </w:p>
              </w:tc>
            </w:tr>
            <w:tr w14:paraId="35A0C47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120" w:type="dxa"/>
                  <w:left w:w="120" w:type="dxa"/>
                  <w:bottom w:w="120" w:type="dxa"/>
                  <w:right w:w="120" w:type="dxa"/>
                </w:tblCellMar>
              </w:tblPrEx>
              <w:trPr>
                <w:trHeight w:val="330" w:hRule="atLeast"/>
              </w:trPr>
              <w:tc>
                <w:tcPr>
                  <w:vMerge w:val="continue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</w:tcPr>
                <w:p w14:paraId="48C64C44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4BF24F45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松软度</w:t>
                  </w:r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1B4ACDEE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风味</w:t>
                  </w:r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70748342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外观</w:t>
                  </w:r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5BFA9B94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色泽</w:t>
                  </w:r>
                </w:p>
              </w:tc>
            </w:tr>
            <w:tr w14:paraId="1242ECD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120" w:type="dxa"/>
                  <w:left w:w="120" w:type="dxa"/>
                  <w:bottom w:w="120" w:type="dxa"/>
                  <w:right w:w="120" w:type="dxa"/>
                </w:tblCellMar>
              </w:tblPrEx>
              <w:trPr>
                <w:trHeight w:val="330" w:hRule="atLeast"/>
              </w:trPr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572728F9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23</w:t>
                  </w:r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1FCF0BED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8.4</w:t>
                  </w:r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233070DB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8.5</w:t>
                  </w:r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57D696EE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7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22"/>
                    </w:rPr>
                    <w:drawing>
                      <wp:inline distT="0" distB="0" distL="114300" distR="114300">
                        <wp:extent cx="31750" cy="88900"/>
                        <wp:effectExtent l="0" t="0" r="0" b="0"/>
                        <wp:docPr id="100051" name="图片 1000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0051" name="图片 10005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750" cy="889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8</w:t>
                  </w:r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52A47A7E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8.3</w:t>
                  </w:r>
                </w:p>
              </w:tc>
            </w:tr>
            <w:tr w14:paraId="3AC4423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120" w:type="dxa"/>
                  <w:left w:w="120" w:type="dxa"/>
                  <w:bottom w:w="120" w:type="dxa"/>
                  <w:right w:w="120" w:type="dxa"/>
                </w:tblCellMar>
              </w:tblPrEx>
              <w:trPr>
                <w:trHeight w:val="330" w:hRule="atLeast"/>
              </w:trPr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5595FA97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28</w:t>
                  </w:r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591E9142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9.2</w:t>
                  </w:r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75E72E39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9.3</w:t>
                  </w:r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00DFC203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8.6</w:t>
                  </w:r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7209117C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8.7</w:t>
                  </w:r>
                </w:p>
              </w:tc>
            </w:tr>
            <w:tr w14:paraId="351071C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120" w:type="dxa"/>
                  <w:left w:w="120" w:type="dxa"/>
                  <w:bottom w:w="120" w:type="dxa"/>
                  <w:right w:w="120" w:type="dxa"/>
                </w:tblCellMar>
              </w:tblPrEx>
              <w:trPr>
                <w:trHeight w:val="330" w:hRule="atLeast"/>
              </w:trPr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4671D734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33</w:t>
                  </w:r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39D93796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9.0</w:t>
                  </w:r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3D688040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9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22"/>
                    </w:rPr>
                    <w:drawing>
                      <wp:inline distT="0" distB="0" distL="114300" distR="114300">
                        <wp:extent cx="31750" cy="88900"/>
                        <wp:effectExtent l="0" t="0" r="0" b="0"/>
                        <wp:docPr id="100053" name="图片 1000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0053" name="图片 10005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750" cy="889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76DC851D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8.5</w:t>
                  </w:r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7ED61129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8.9</w:t>
                  </w:r>
                </w:p>
              </w:tc>
            </w:tr>
          </w:tbl>
          <w:p w14:paraId="71173EE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结合面团膨大情况和评价结果，我认为最适宜的发面温度为</w:t>
            </w:r>
          </w:p>
          <w:p w14:paraId="2B7C90F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28</w:t>
            </w:r>
            <w:r>
              <w:rPr>
                <w:rFonts w:ascii="宋体" w:hAnsi="宋体" w:eastAsia="宋体" w:cs="宋体"/>
                <w:color w:val="000000"/>
              </w:rPr>
              <w:t>℃，你同意吗？请写出你的一条理由。</w:t>
            </w:r>
            <w:r>
              <w:rPr>
                <w:color w:val="000000"/>
              </w:rPr>
              <w:t>______</w:t>
            </w:r>
          </w:p>
          <w:p w14:paraId="39798A5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除了温度外，在原料或制作步骤方面可能会影响馒头品质的</w:t>
            </w:r>
          </w:p>
          <w:p w14:paraId="55B083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因素还有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，我将进一步开展实践探究。</w:t>
            </w:r>
          </w:p>
        </w:tc>
      </w:tr>
    </w:tbl>
    <w:p w14:paraId="1F50DB53">
      <w:pPr>
        <w:spacing w:line="360" w:lineRule="auto"/>
        <w:jc w:val="left"/>
        <w:textAlignment w:val="center"/>
        <w:rPr>
          <w:color w:val="000000"/>
        </w:rPr>
      </w:pPr>
    </w:p>
    <w:p w14:paraId="7089AA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肺活量是《国家学生体质健康标准》中的测试指标之一。</w:t>
      </w:r>
    </w:p>
    <w:p w14:paraId="5E5573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肺活量能体现肺与外界进行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的能力。测量肺活量时应尽力吸气后再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，取三次测量的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（填“最大值”或“平均值”）。</w:t>
      </w:r>
    </w:p>
    <w:p w14:paraId="0E54CA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研究者采用两种不同训练方式对中学生进行体育训练，一周两次，持续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周后，测算肺活量的提升率。</w:t>
      </w:r>
    </w:p>
    <w:p w14:paraId="4E7A1E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训练方式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：一组训练后，心率恢复到平静状态时，即开始下一组训练；</w:t>
      </w:r>
    </w:p>
    <w:p w14:paraId="7931BD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训练方式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：一组训练后，心率维持在较高水平时，即开始下一组训练。</w:t>
      </w:r>
    </w:p>
    <w:p w14:paraId="01841B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①运动时，人体的呼吸频率和深度相应增加，使如图所示的</w:t>
      </w:r>
      <w:r>
        <w:rPr>
          <w:rFonts w:ascii="Times New Roman" w:hAnsi="Times New Roman" w:eastAsia="Times New Roman" w:cs="Times New Roman"/>
          <w:color w:val="000000"/>
        </w:rPr>
        <w:t>[a]</w:t>
      </w:r>
      <w:r>
        <w:rPr>
          <w:rFonts w:ascii="宋体" w:hAnsi="宋体" w:eastAsia="宋体" w:cs="宋体"/>
          <w:color w:val="000000"/>
        </w:rPr>
        <w:t>肋间肌和</w:t>
      </w:r>
      <w:r>
        <w:rPr>
          <w:rFonts w:ascii="Times New Roman" w:hAnsi="Times New Roman" w:eastAsia="Times New Roman" w:cs="Times New Roman"/>
          <w:color w:val="000000"/>
        </w:rPr>
        <w:t>[b]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功能加强，胸廓扩大和缩小的幅度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。训练结果表明，两种方式均可以提高肺活量。</w:t>
      </w:r>
    </w:p>
    <w:p w14:paraId="2513AA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90625" cy="11715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3E20F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②与训练方式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相比，训练方式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肺活量的提升率更高，这主要是由于该方式训练过程中，两组训练间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58911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柽（</w:t>
      </w:r>
      <w:r>
        <w:rPr>
          <w:rFonts w:ascii="Times New Roman" w:hAnsi="Times New Roman" w:eastAsia="Times New Roman" w:cs="Times New Roman"/>
          <w:color w:val="000000"/>
        </w:rPr>
        <w:t>chēng</w:t>
      </w:r>
      <w:r>
        <w:rPr>
          <w:rFonts w:ascii="宋体" w:hAnsi="宋体" w:eastAsia="宋体" w:cs="宋体"/>
          <w:color w:val="000000"/>
        </w:rPr>
        <w:t>）柳广泛分布于荒漠地区，对当地的防风固沙起到重要作用。</w:t>
      </w:r>
    </w:p>
    <w:p w14:paraId="453C98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如图所示，柽柳在形态结构、生殖方式等不同方面表现出对荒漠环境的适应。</w:t>
      </w:r>
    </w:p>
    <w:p w14:paraId="117D54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05100" cy="19812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478D06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①叶特化成鳞片状，减小了叶面积，避免水分通过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作用大量散失；叶肉细胞中具有较大的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（填结构名称），能够贮存水分。</w:t>
      </w:r>
    </w:p>
    <w:p w14:paraId="3968D0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②发达的根系既利于从干旱的土壤中吸收水和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，又能固定沙土。</w:t>
      </w:r>
    </w:p>
    <w:p w14:paraId="45CBA7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③可通过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（填“有性”或“无性”）生殖的方式从被沙层掩埋的枝条上长出新植株。</w:t>
      </w:r>
    </w:p>
    <w:p w14:paraId="4F1C1C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研究人员对柽柳防风固沙功能进行野外观测，结果如下表。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340"/>
        <w:gridCol w:w="555"/>
        <w:gridCol w:w="450"/>
        <w:gridCol w:w="450"/>
        <w:gridCol w:w="450"/>
        <w:gridCol w:w="450"/>
        <w:gridCol w:w="450"/>
        <w:gridCol w:w="555"/>
      </w:tblGrid>
      <w:tr w14:paraId="651AD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5DEA3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与灌丛间的距离（米）</w:t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5EE04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迎风侧</w:t>
            </w:r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A93C3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背风侧</w:t>
            </w:r>
          </w:p>
        </w:tc>
      </w:tr>
      <w:tr w14:paraId="7AD41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3C80A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AFE4C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BA912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583E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3A35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EDBCC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62D5F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704B5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</w:t>
            </w:r>
          </w:p>
        </w:tc>
      </w:tr>
      <w:tr w14:paraId="43E45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4769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相对风速（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%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7028B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14196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80D32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C94DD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2A49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2D81E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F95F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100</w:t>
            </w:r>
          </w:p>
        </w:tc>
      </w:tr>
    </w:tbl>
    <w:p w14:paraId="5C1F54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注：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．相对风速指测量点风速占空旷地风速的百分比。</w:t>
      </w:r>
    </w:p>
    <w:p w14:paraId="7FC1A9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．测量点风速为在柽柳灌丛高度的</w:t>
      </w:r>
      <w:r>
        <w:rPr>
          <w:rFonts w:ascii="Times New Roman" w:hAnsi="Times New Roman" w:eastAsia="Times New Roman" w:cs="Times New Roman"/>
          <w:color w:val="000000"/>
        </w:rPr>
        <w:t>1/2</w:t>
      </w:r>
      <w:r>
        <w:rPr>
          <w:rFonts w:ascii="宋体" w:hAnsi="宋体" w:eastAsia="宋体" w:cs="宋体"/>
          <w:color w:val="000000"/>
        </w:rPr>
        <w:t>处，距该灌丛不同距离迎风侧与背风侧的风速。</w:t>
      </w:r>
    </w:p>
    <w:p w14:paraId="4A9274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①据表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分析，为起到防风作用，种植柽柳的最大间距应为两侧相对风速达到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%</w:t>
      </w:r>
      <w:r>
        <w:rPr>
          <w:rFonts w:ascii="宋体" w:hAnsi="宋体" w:eastAsia="宋体" w:cs="宋体"/>
          <w:color w:val="000000"/>
        </w:rPr>
        <w:t>时，所对应的距离之和。</w:t>
      </w:r>
    </w:p>
    <w:p w14:paraId="52B525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②随着柽柳的生长，落叶和沙层逐渐堆叠，形成图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所示的隆起沙包，起到固沙作用。可通过测定沙包的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等指标，反映柽柳的生长状况和固沙效果。</w:t>
      </w:r>
    </w:p>
    <w:p w14:paraId="62578C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综上所述，柽柳既能适应环境，又能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环境。</w:t>
      </w:r>
    </w:p>
    <w:p w14:paraId="7BDE95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北京鸭由绿头鸭祖先种驯化而来，通身为白色羽、体型肥硕，而绿头鸭为有色羽、体型纤瘦。为研究北京鸭遗传和代谢的特点，科研人员开展相关研究。</w:t>
      </w:r>
    </w:p>
    <w:p w14:paraId="74F634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已知基因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与禽类的羽色相关。为确定羽色的遗传特点，进行图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所示杂交实验。据图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可知，有色羽和白色羽是一对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，其中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为隐性性状。</w:t>
      </w:r>
    </w:p>
    <w:p w14:paraId="1A46F0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47900" cy="170497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EB0A6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家禽体型增大是提高肉质产量的前提。已知基因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能调节和控制禽类体型的大小。</w:t>
      </w:r>
    </w:p>
    <w:p w14:paraId="293F6FD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①对绿头鸭与北京鸭中的基因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调控不同器官的情况进行研究，结果如图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，颜色越深表示调控强度越大。</w:t>
      </w:r>
    </w:p>
    <w:p w14:paraId="14038C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49542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95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FEF2C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据图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可知，与绿头鸭相比，北京鸭的基因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对上述器官的调控特点为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，使其在生长发育过程中体型变得肥硕。</w:t>
      </w:r>
    </w:p>
    <w:p w14:paraId="30A208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研究表明，在基因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调控下，北京鸭和绿头鸭对饲料的利用率存在差异。表现为北京鸭进食量明显高于同龄的绿头鸭，但其血糖水平与绿头鸭的持平。</w:t>
      </w:r>
    </w:p>
    <w:p w14:paraId="2EEF96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请据此推测北京鸭体型肥硕的原因，选填字母补充在图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中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1C0CD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15252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153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A3A06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．食管（道）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．小肠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．升高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．降低</w:t>
      </w:r>
    </w:p>
    <w:p w14:paraId="1ECDAD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．葡萄糖转化为脂肪等储能物质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．葡萄糖氧化分解为二氧化碳和水</w:t>
      </w:r>
    </w:p>
    <w:p w14:paraId="2F541C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综上所述，生物的性状是由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控制的，北京鸭的优良性状是遗传变异和人工选择的结果。若采用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技术，可将基因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或基因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转入家禽体内，以期改良家禽的性状。</w:t>
      </w:r>
    </w:p>
    <w:p w14:paraId="61E730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 w:eastAsia="宋体" w:cs="宋体"/>
          <w:color w:val="000000"/>
        </w:rPr>
        <w:t>有研究表明，可利用图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所示的微针贴片治疗心肌梗塞（简称心梗）引起的心肌纤维化。</w:t>
      </w:r>
    </w:p>
    <w:p w14:paraId="5CF064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20027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200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251B35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冠状动脉可为心肌细胞输送所需的营养物质和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（填气体名称）。心梗是由于部分心肌的血液供应受阻，引起心肌发生缺血性坏死，表现为过度纤维化，弹性下降。这会导致心肌有节律地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和舒张功能降低。</w:t>
      </w:r>
    </w:p>
    <w:p w14:paraId="361782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科研人员利用微针贴片装载物质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，研究其对心肌纤维化的影响。</w:t>
      </w:r>
    </w:p>
    <w:p w14:paraId="7E07846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①影响微针给药量的因素包括微针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（填字母，多选）。</w:t>
      </w:r>
    </w:p>
    <w:p w14:paraId="7DE8EDF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．长度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．表面积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．在支持物上的分布密度</w:t>
      </w:r>
    </w:p>
    <w:p w14:paraId="28677B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②对心肌纤维化模型鼠进行不同处理，结果如图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。据图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可知，物质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能够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心肌纤维化程度。为排除空白微针贴片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49" name="图片 10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影响，评估物质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对心肌纤维化的作用应比较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两组的数据。</w:t>
      </w:r>
    </w:p>
    <w:p w14:paraId="40DDCA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3174365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3174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3F3EA0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微针贴片可通过微创手术直接送达心脏表面，贴于心肌纤维化部位。若将该技术应用于心梗患者的治疗，请写出其优势或不足：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（写出一条即可）。</w:t>
      </w:r>
    </w:p>
    <w:p w14:paraId="2E4DAC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 w:eastAsia="宋体" w:cs="宋体"/>
          <w:color w:val="000000"/>
        </w:rPr>
        <w:t>月季切花具有极高的观赏和经济价值，但瓶插观赏期较短。研究发现茎皮层的光合作用与切花品质和观赏期有密切关系。</w:t>
      </w:r>
    </w:p>
    <w:p w14:paraId="28A673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月季切花的茎呈现绿色，图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为茎段示意图。皮层细胞的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中含有叶绿素，能吸收光能。光是光合作用的必要条件，不同光照强度下皮层光合作用强度不同。</w:t>
      </w:r>
    </w:p>
    <w:p w14:paraId="4CBBB3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76375" cy="1104900"/>
            <wp:effectExtent l="0" t="0" r="0" b="0"/>
            <wp:docPr id="406105420" name="图片 4061054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105420" name="图片 40610542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54A5D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为探究茎皮层光合作用对月季切花品质和观赏期的影响，科研人员利用图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所示装置开展实验。每天测算花朵直径的增长率，直到花朵萎蔫、观赏期结束，结果如图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。</w:t>
      </w:r>
    </w:p>
    <w:p w14:paraId="543762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95400" cy="1581150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drawing>
          <wp:inline distT="0" distB="0" distL="114300" distR="114300">
            <wp:extent cx="2619375" cy="1743075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D45AE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试管不做处理，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试管用多层保鲜膜包裹，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试管用黑纸包裹，分别对应了图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中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三种条件。</w:t>
      </w:r>
    </w:p>
    <w:p w14:paraId="60B9C9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②实验过程中需保证光照培养箱中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等条件一致。</w:t>
      </w:r>
    </w:p>
    <w:p w14:paraId="3062A5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③分析图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可知，皮层的光合作用可促使花朵直径增大，判断依据为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；同时可延长切花的观赏期。与无光照组相比，高光照组可将观赏期延长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天。</w:t>
      </w:r>
    </w:p>
    <w:p w14:paraId="6FB836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切花常因切口处细菌感染、伤口愈合等因素，引起导管堵塞，进而导致供水不足，影响切花品质和缩短观赏期。但研究发现，茎皮层的光合作用可通过促进皮层吸水缓解这一现象。科研人员通过图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所示的实验加以验证。</w:t>
      </w:r>
    </w:p>
    <w:p w14:paraId="30EE89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76400" cy="1314450"/>
            <wp:effectExtent l="0" t="0" r="0" b="0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421CE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①实验中茎段两端的切口需用防水胶封堵，目的是避免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对实验结果造成影响。</w:t>
      </w:r>
    </w:p>
    <w:p w14:paraId="63B63F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②测定茎段的起始质量和浸泡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小时后的质量，支持“茎皮层光合作用可以促进皮层吸水”这一结论的实验结果应为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EAC5C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基于上述研究，可采用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的方法延长切花观赏期。（写出一条即可）</w:t>
      </w:r>
    </w:p>
    <w:p w14:paraId="4E3E22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32. </w:t>
      </w:r>
      <w:r>
        <w:rPr>
          <w:rFonts w:ascii="宋体" w:hAnsi="宋体" w:eastAsia="宋体" w:cs="宋体"/>
          <w:color w:val="000000"/>
        </w:rPr>
        <w:t>阅读科普短文，回答问题。</w:t>
      </w:r>
    </w:p>
    <w:p w14:paraId="797C662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提到蜜蜂，人们往往想到的是香甜的蜂蜜、六边形的巢穴和穿梭于花丛间的忙碌“身影”。在自然界中蜜蜂不仅是酿造者、建筑师，更是传粉“使者”，需要传粉的植物中有</w:t>
      </w:r>
      <w:r>
        <w:rPr>
          <w:rFonts w:ascii="Times New Roman" w:hAnsi="Times New Roman" w:eastAsia="Times New Roman" w:cs="Times New Roman"/>
          <w:color w:val="000000"/>
        </w:rPr>
        <w:t>90%</w:t>
      </w:r>
      <w:r>
        <w:rPr>
          <w:rFonts w:ascii="宋体" w:hAnsi="宋体" w:eastAsia="宋体" w:cs="宋体"/>
          <w:color w:val="000000"/>
        </w:rPr>
        <w:t>都依赖于蜜蜂传粉。</w:t>
      </w:r>
    </w:p>
    <w:p w14:paraId="335725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近年来研究发现，蜜蜂的物种多样性大幅度下降。引起蜜蜂种类和数量减少的因素是复杂多样的，如气候变化使一些植物提前开花，而蜜蜂的生物钟不能尽快适应，导致采蜜时间和蜜源植物花期不一致；农业生产中杀虫剂的使用不当可能会直接杀死蜜蜂，也会影响蜜蜂卵和幼虫的发育，降低蛹的羽化率；土地用途的改变导致蜜蜂栖息地减少；外来蜂种的引进可提高作物产量，但会争夺本土蜜蜂的蜜粉源。</w:t>
      </w:r>
    </w:p>
    <w:p w14:paraId="446D8BC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为解决这些问题，我国科研人员从不同方面开展了大量研究（如图），成果可观。</w:t>
      </w:r>
    </w:p>
    <w:p w14:paraId="404861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548255"/>
            <wp:effectExtent l="0" t="0" r="0" b="0"/>
            <wp:docPr id="100047" name="图片 1000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548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A5BBE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除了专业研究之外，不同社会角色都应关注蜜蜂等传粉昆虫的保护工作，这对于粮食安全和农业可持续发展具有重要意义、每年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日是“世界蜜蜂日”，今年的主题是“‘蜜’切参与——发展农业生产，保护传粉昆虫”，以此来呼吁人们积极参与，为保护蜜蜂等传粉昆虫做贡献，共同构建“蜜蜂友好型”社会。</w:t>
      </w:r>
    </w:p>
    <w:p w14:paraId="0EC9F8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研究蜜蜂需要先了解它。蜜蜂的身体和附肢分节，属于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动物门昆虫纲，发育类型为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发育。蜜蜂传粉有助于实现同种植物间的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（填“自花”或“异花”）传粉，提高后代的变异性，促进农业提质增产。</w:t>
      </w:r>
    </w:p>
    <w:p w14:paraId="22CDD3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外来蜂种和本地蜂种间存在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关系，在引进外来蜂种时需要考虑生态安全。</w:t>
      </w:r>
    </w:p>
    <w:p w14:paraId="6408FD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为解决“引起蜜蜂生物钟与蜜源植物花期不一致”的问题，可以从图中所示的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（填序号，多选）方面进行研究。</w:t>
      </w:r>
    </w:p>
    <w:p w14:paraId="1B662D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不同社会角色都应“蜜”切参与到保护蜜蜂的行动中，作为一名中学生，你可以做的是：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（写出一条即可）。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1D99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7837E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DD360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F81F1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D02A1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81391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1AA1072"/>
    <w:rsid w:val="10892EB1"/>
    <w:rsid w:val="2AAE6362"/>
    <w:rsid w:val="38274566"/>
    <w:rsid w:val="4B4E30DB"/>
    <w:rsid w:val="77E77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7" Type="http://schemas.openxmlformats.org/officeDocument/2006/relationships/fontTable" Target="fontTable.xml"/><Relationship Id="rId36" Type="http://schemas.openxmlformats.org/officeDocument/2006/relationships/customXml" Target="../customXml/item1.xml"/><Relationship Id="rId35" Type="http://schemas.openxmlformats.org/officeDocument/2006/relationships/image" Target="media/image26.png"/><Relationship Id="rId34" Type="http://schemas.openxmlformats.org/officeDocument/2006/relationships/image" Target="media/image25.png"/><Relationship Id="rId33" Type="http://schemas.openxmlformats.org/officeDocument/2006/relationships/image" Target="media/image24.png"/><Relationship Id="rId32" Type="http://schemas.openxmlformats.org/officeDocument/2006/relationships/image" Target="media/image23.png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jpe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jpe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12</Pages>
  <Words>5399</Words>
  <Characters>5887</Characters>
  <Lines>0</Lines>
  <Paragraphs>0</Paragraphs>
  <TotalTime>4</TotalTime>
  <ScaleCrop>false</ScaleCrop>
  <LinksUpToDate>false</LinksUpToDate>
  <CharactersWithSpaces>6212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2023-08-04T22:40:00Z</dcterms:created>
  <dc:creator>学科网试题生产平台</dc:creator>
  <dc:description>3289289952083968</dc:description>
  <cp:lastModifiedBy>上帝掷骰子吗</cp:lastModifiedBy>
  <dcterms:modified xsi:type="dcterms:W3CDTF">2024-07-20T16:08:21Z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CE20CACF2CAF4D0CA9D5F1C76DA4F3C2_12</vt:lpwstr>
  </property>
</Properties>
</file>