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2C82" w:rsidRDefault="00101460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11506200</wp:posOffset>
            </wp:positionH>
            <wp:positionV relativeFrom="topMargin">
              <wp:posOffset>11620500</wp:posOffset>
            </wp:positionV>
            <wp:extent cx="330200" cy="406400"/>
            <wp:effectExtent l="0" t="0" r="12700" b="1270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湖南省2023年普通高中学业水平选择性考试</w:t>
      </w:r>
    </w:p>
    <w:p w:rsidR="00D12C82" w:rsidRDefault="00101460">
      <w:pPr>
        <w:spacing w:line="360" w:lineRule="auto"/>
        <w:jc w:val="center"/>
      </w:pPr>
      <w:r>
        <w:rPr>
          <w:rFonts w:ascii="宋体" w:hAnsi="宋体"/>
          <w:b/>
          <w:sz w:val="32"/>
        </w:rPr>
        <w:t>思想政治</w:t>
      </w:r>
    </w:p>
    <w:p w:rsidR="00D12C82" w:rsidRDefault="00101460">
      <w:pPr>
        <w:spacing w:line="360" w:lineRule="auto"/>
      </w:pPr>
      <w:r>
        <w:rPr>
          <w:rFonts w:ascii="宋体" w:hAnsi="宋体"/>
          <w:b/>
          <w:sz w:val="24"/>
        </w:rPr>
        <w:t>注意事项：</w:t>
      </w:r>
    </w:p>
    <w:p w:rsidR="00D12C82" w:rsidRDefault="00101460">
      <w:pPr>
        <w:spacing w:line="360" w:lineRule="auto"/>
      </w:pPr>
      <w:r>
        <w:rPr>
          <w:rFonts w:ascii="宋体" w:hAnsi="宋体"/>
          <w:b/>
          <w:sz w:val="24"/>
        </w:rPr>
        <w:t>1.答卷前，考生务必将自己的姓名、准考证号填写在本试卷和答题卡上。</w:t>
      </w:r>
    </w:p>
    <w:p w:rsidR="00D12C82" w:rsidRDefault="00101460">
      <w:pPr>
        <w:spacing w:line="360" w:lineRule="auto"/>
      </w:pPr>
      <w:r>
        <w:rPr>
          <w:rFonts w:ascii="宋体" w:hAnsi="宋体"/>
          <w:b/>
          <w:sz w:val="24"/>
        </w:rPr>
        <w:t>2.回答选择题时，选出每小题答案后，用铅笔把答题卡上对应题目的答案标号涂</w:t>
      </w:r>
    </w:p>
    <w:p w:rsidR="00D12C82" w:rsidRDefault="00101460">
      <w:pPr>
        <w:spacing w:line="360" w:lineRule="auto"/>
      </w:pPr>
      <w:r>
        <w:rPr>
          <w:rFonts w:ascii="宋体" w:hAnsi="宋体"/>
          <w:b/>
          <w:sz w:val="24"/>
        </w:rPr>
        <w:t>黑。如需改动，用橡皮擦干净后，再选涂其他答案标号。回答非选择题时，将答案写在答题卡上。写在本试卷上无效。</w:t>
      </w:r>
    </w:p>
    <w:p w:rsidR="00D12C82" w:rsidRDefault="00101460">
      <w:pPr>
        <w:spacing w:line="360" w:lineRule="auto"/>
      </w:pPr>
      <w:r>
        <w:rPr>
          <w:rFonts w:ascii="宋体" w:hAnsi="宋体"/>
          <w:b/>
          <w:sz w:val="24"/>
        </w:rPr>
        <w:t>3.考试结束后，将本试卷和答题卡一并交回。</w:t>
      </w:r>
    </w:p>
    <w:p w:rsidR="00D12C82" w:rsidRDefault="00101460">
      <w:pPr>
        <w:spacing w:line="360" w:lineRule="auto"/>
      </w:pPr>
      <w:r>
        <w:rPr>
          <w:rFonts w:ascii="宋体" w:hAnsi="宋体"/>
          <w:b/>
          <w:sz w:val="24"/>
        </w:rPr>
        <w:t>一、选择题：本题共16小题，每小题3分，共48分。在每小题给出的四个选项中，只有一项是符合题目要求的。</w:t>
      </w:r>
    </w:p>
    <w:p w:rsidR="00D12C82" w:rsidRDefault="00101460">
      <w:pPr>
        <w:spacing w:line="360" w:lineRule="auto"/>
      </w:pPr>
      <w:r>
        <w:t xml:space="preserve">1. </w:t>
      </w:r>
      <w:r>
        <w:rPr>
          <w:rFonts w:ascii="宋体" w:hAnsi="宋体"/>
        </w:rPr>
        <w:t>中国特色社会主义开创于改革开放新时期，但了解其形成和发展的脉络，认识其历史必然性和科学真理性，应该拉长时间尺度，放在世界社会主义演进的历程中去把握。从这一历程来看（   ）</w:t>
      </w:r>
    </w:p>
    <w:p w:rsidR="00D12C82" w:rsidRDefault="00101460">
      <w:pPr>
        <w:spacing w:line="360" w:lineRule="auto"/>
      </w:pPr>
      <w:r>
        <w:rPr>
          <w:rFonts w:ascii="宋体" w:hAnsi="宋体"/>
        </w:rPr>
        <w:t>①科学社会主义在二十一世纪</w:t>
      </w:r>
      <w:r>
        <w:rPr>
          <w:rFonts w:ascii="宋体" w:hAnsi="宋体"/>
          <w:noProof/>
        </w:rPr>
        <w:drawing>
          <wp:inline distT="0" distB="0" distL="114300" distR="114300">
            <wp:extent cx="133350" cy="177800"/>
            <wp:effectExtent l="0" t="0" r="0" b="1333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中国焕发出强大生机活力</w:t>
      </w:r>
    </w:p>
    <w:p w:rsidR="00D12C82" w:rsidRDefault="00101460">
      <w:pPr>
        <w:spacing w:line="360" w:lineRule="auto"/>
      </w:pPr>
      <w:r>
        <w:rPr>
          <w:rFonts w:ascii="宋体" w:hAnsi="宋体"/>
        </w:rPr>
        <w:t>②中国特色社会主义不断发展并已跨越社会主义初级阶段</w:t>
      </w:r>
    </w:p>
    <w:p w:rsidR="00D12C82" w:rsidRDefault="00101460">
      <w:pPr>
        <w:spacing w:line="360" w:lineRule="auto"/>
      </w:pPr>
      <w:r>
        <w:rPr>
          <w:rFonts w:ascii="宋体" w:hAnsi="宋体"/>
        </w:rPr>
        <w:t>③中国特色社会主义正成为振兴世界社会主义的中流砥柱</w:t>
      </w:r>
    </w:p>
    <w:p w:rsidR="00D12C82" w:rsidRDefault="00101460">
      <w:pPr>
        <w:spacing w:line="360" w:lineRule="auto"/>
      </w:pPr>
      <w:r>
        <w:rPr>
          <w:rFonts w:ascii="宋体" w:hAnsi="宋体"/>
        </w:rPr>
        <w:t>④冷战结束后世界社会主义运动低潮状态得到了根本改变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①②</w:t>
      </w:r>
      <w:r>
        <w:tab/>
        <w:t xml:space="preserve">B. </w:t>
      </w:r>
      <w:r>
        <w:rPr>
          <w:rFonts w:ascii="宋体" w:hAnsi="宋体"/>
        </w:rPr>
        <w:t>①③</w:t>
      </w:r>
      <w:r>
        <w:tab/>
        <w:t xml:space="preserve">C. </w:t>
      </w:r>
      <w:r>
        <w:rPr>
          <w:rFonts w:ascii="宋体" w:hAnsi="宋体"/>
        </w:rPr>
        <w:t>②④</w:t>
      </w:r>
      <w:r>
        <w:tab/>
        <w:t xml:space="preserve">D. </w:t>
      </w:r>
      <w:r>
        <w:rPr>
          <w:rFonts w:ascii="宋体" w:hAnsi="宋体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马克思和恩格斯在《德意志意识形态》中写道，在共产主义社会里，“任何人都没有特殊的活动范围，而是都可以在任何部门内发展，社会调节着整个生产，因而使我有可能随自己的兴趣今天干这事，明天干那事，上午打猎，下午捕鱼，傍晚从事畜牧，晚饭后从事批判，这样就不会使我老是一个猎人、渔夫、牧人或批判者。”对此理解正确的是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①这是对未来共产主义社会形态的全面描绘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②人的自由发展是共产主义社会的基本前提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③追求人的自由发展是共产主义的价值旨归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④共产主义社会人们将摆脱传统分工的束缚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3</w:t>
      </w:r>
      <w:r>
        <w:rPr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从期盼"第三新文明”到创造“人类文明新形态"深刻昭示（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4943475" cy="21240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①第三新文明的设想为推动人类文明繁荣发展贡献了最佳道路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②各国历史的多样性是由人类社会发展的一般进程反映出来的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③中国共产党是带领中国人民创造人类文明新形态的核心力量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④人类文明新形态是坚持和发展中国特色社会主义的实践成果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近年来，我国人口出生率持续走低，如不加以干预，就会对未来人口和经济社会安全构成潜在风险。为此，需要加快建立生育支持政策体系，降低生育、养育、教育成本。以下政策作用路径正确的是（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①发放育儿补贴→减轻税费负担→降低生育成本→增强生育意愿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②延长生育假期→提供时间便利→降低生育成本→增强生育意愿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③发展普惠托育→完善公共服务→降低养育成本→增强生育意愿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④均衡发展教育→提高教育质量→降低教育成本→增强生育意愿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拔河、插秧、赶小猪，乡村燃起“土味”运动会，带动了体育兴村的乡村振兴新模式。某村因地制宜，大力发展攀岩项目，抱回了“全国攀岩第一村”的金字招牌，连续4年举办了全国美丽乡村攀岩系列赛，吸引游客10多万人次，促进村集体年均增收150万元。体育兴村的创新实践有利于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①创造以城带乡新机制，促进农民增收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②提高农民健康水平，推进乡风文明建设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③促进农村产业融合，加快推进农村现代化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④完善农村基本经营制度，发展壮大集体经济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某市社区治理中，在基层党组织领导下，打破化解矛盾仅靠干部单向协调的思维惯性，充分发动群众参与，把群众代表请上“评判席",融入“法理情”,共评共商共断群众诉求的是与非，把矛盾化解在基层。这种做法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①把党的组织优势转化为基层治理效能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②调动了多元主体参与基层治理的积极性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③是基层政权转变治理方式的生动实践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④结合了法律的教化作用和道德的规范作用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在新一轮国家机构改革中，重组后的科技部不再参与具体科研项目评审和管理，而是强化战略规划、资源统筹、综合协调等宏观管理职责，推动健全新型举国体制，优化科技创新全链条管理，促进科技成果转化。重组科技部旨在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①为提升科技创新整体效能提供基本政治制度保障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②优化部门职能配置，以科技力量赋能国家治理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③理顺科技创新管理体系，助力解决“卡脖子”问题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④强化政府宏观管理职责，促进科技和经济社会发展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学思想、强党性、重实践、建新功”是学习贯彻习近平新时代中国特色社会主义思想主题教育的总要求。精准扶贫理念推动中国减贫事业取得巨大成就；构建人类命运共同体理念显著提升我国国际影响力、感召力；……在习近平新时代中国特色社会主义思想的科学指引下，我国创造了一个个令人刮目相看的人间奇迹。这表明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①真理性认识更具有能动创造性和直接现实性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②理论是在实践指导下沿着科学性方向不断深化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③理论的感召力从根本上源于在科学指导实践中展现的真理力量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④学思想的目的在于把思想变成改造主观世界和客观世界的强大武器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三湘巨变，时光为证。一秒钟，“天河”新一代超级计算机可完成20亿亿次高精度运算。一分钟，“潇湘二号”卫星绕地球百分之一圈。一小时，湖南可下线12台挖掘机。……每一秒，每一分，每一个日夜，构筑湖南“时间”,成就中国力量。这表明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①三湘巨变凸显出量的积累必然引起质变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②三湘巨变蕴含着新事物取代旧事物的趋势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③湖南“时间”反映了世界的永恒变化和发展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④湖南“时间”到中国力量是共性到个性的转化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方圆之境，一眼千年。在一块宋代铜镜的背面浮雕上，我们有幸目睹一场“镜上足球赛"——有人高髻</w:t>
      </w:r>
      <w:r>
        <w:rPr>
          <w:rFonts w:ascii="宋体" w:hAnsi="宋体"/>
          <w:color w:val="000000"/>
        </w:rPr>
        <w:lastRenderedPageBreak/>
        <w:t>笄发，作踢球状；有人戴幞头，着长服，半蹲膝，身稍前倾，作认真接球姿势。伴随了中国人数千年的铜镜已然成为一种文化意象，映照至今。由此可知（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①浮雕画面蕴含着古代中国人民朝气蓬勃的体育精神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②铜镜与体育的生动融合拓宽了文化发展的基本路径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③铜镜是中华传统文化的传承和表现的物化形式之一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④铜镜文化是中华优秀传统文化独特魅力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集中体现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2022年A国大选中，工党获得联邦议会多数席位，击败了自由党-国家党联盟。在获得A国总督任命后，工党党首成为新一任总理。此前，A国某州政府曾与B国签订了合作文件，但最终被自由党-国家党联盟主导的联邦政府以违反《对外关系法案》为由否决。工党成功执政有望缓和与B国关系、恢复该合作。由此可推断出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①A国在国家结构形式上采用的是复合制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②A国实行多党制，更能以民主方式保障阶级利益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③A国实行君主立宪制，在实际运行中与民主共和制大体相同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④A国政府领导人的更替是A国和B国关系可能变化的主要原因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2023年是“一带一路”倡议提出十周年，世界大多数国家认可“一带一路”倡议并签署了合作协议。十年间，“一带一路”打造了可靠的“朋友圈”,强化了全球互联互通网络，助力全球治理体系的建设与改革，极大提升了我国对外开放的广度与深度。这体现出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①主权国家具有独立权和平等权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②国家利益是国家合作的基础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③中国方案在全球治理中发挥重要作用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④公共外交是解决全球发展失衡问题的首要手段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民法典规范各类民事主体的各种人身关系和财产关系，涉及社会生活的方方面面。下列漫画描述的情境符合民法典规范的是（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3524250" cy="2781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党的二十大报告强调"完善公益诉讼制度"。公益诉讼制度捍卫公共利益，从顶层设计到实践落地，从局部试点到全面推开，受到广泛关注。以下案例属于公益诉讼范畴的是（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①某医疗科技公司诉某健康科技公司名誉权纠纷案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②陈某在某世界自然遗产地“金顶摩崖”刻字案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③孙某与某通信公司隐私权、个人信息保护纠纷案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④罗某侵害抗美援朝“冰雕连”英雄烈士名誉、荣誉案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某校组织学生深入乡村进行社会调查研究。经过走访，他们以判断形式形成了关于某村的调查结论：所有家庭都不是贫困户；有些回乡创业的村民是大学毕业生；李家老屋是红色资源。在上述调查结论中（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①“贫困户”是不周延的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②“大学毕业生”是不周延的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③“回乡创业的村民”是周延的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④“李家老屋”是周延的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为了推动学雷锋活动常态化，把雷锋精神代代传承下去，某班开展学雷锋活动，可选活动方式有“参加环保志愿服务”“参观雷锋纪念馆”“慰问福利院老人”。全班男生：如果不参观雷锋纪念馆，就不参加环保志愿服务。全班女生：要么参加环保志愿服务，要么慰问福利院老人。以下能满足全班同学要求的方案是（   ）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①参观雷锋纪念馆，并慰问福利院老人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②只慰问福利院老人，不参观雷锋纪念馆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③参加环保志愿服务，并慰问福利院老人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④只参加环保志愿服务，不参观雷锋纪念馆</w:t>
      </w:r>
    </w:p>
    <w:p w:rsidR="00D12C82" w:rsidRDefault="00101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③④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二、非选择题：共52分。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阅读材料，完成下列要求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  进入新时代以来，我国不断通过制度创新和体制机制创新，破除民营企业市场准入门槛，激发民营企业的积极性，严格保护民营经济市场主体经营自主权、财产权等合法权益，引导民营经济健康发展、高质量发展。面对新时代新挑战，广大民营企业奋力拼搏，发挥经营自主灵活的优势，发展韧性不断增强，发展活力不断迸发，民营经济已成为发展主力军和转型升级排头兵，还是创新创业主战场和推动实现共同富裕的重要力量。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  2022年，我国民营企业进出口规模所占比重达到50.9%,对我国外贸增长贡献率达到80.8%,民营企业外贸第一大主体地位继续巩固。同时，民营企业在对外开放中也遇到一些问题和挑战。如，全球贸易壁垒高企，民营企业开拓国际市场风险与障碍增多；发达经济体通过各种措施推动制造业企业回流，外加东南亚等地区制造业的崛起，我国民营企业原有的比较优势受到冲击；部分民营企业处于产业链低端，技术创新由于各种原因陷入低端锁定的困境。</w:t>
      </w:r>
    </w:p>
    <w:p w:rsidR="00D12C82" w:rsidRDefault="00101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结合材料一，运用经济与社会知识，说明我国民营经济的韧性与活力来自哪里。</w:t>
      </w:r>
    </w:p>
    <w:p w:rsidR="00D12C82" w:rsidRDefault="00101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结合材料二，运用“经济全球化与中国”的知识，说明我国政府应如何助力民营企业在对外开放中形成竞争新优势。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阅读材料，完成下列要求。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党的十八大以来，以习近平同志为核心的党中央全面加强对人大工作的领导，人大工作取得历史性成就，人民代表大会制度更加成熟更加定型。某校以“人民代表大会制度更加成熟更加定型”为主题策划展览，以下为部分展出材料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65"/>
        <w:gridCol w:w="9121"/>
      </w:tblGrid>
      <w:tr w:rsidR="00D12C82">
        <w:trPr>
          <w:trHeight w:val="145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12C82" w:rsidRDefault="00D12C82">
            <w:pPr>
              <w:spacing w:line="360" w:lineRule="auto"/>
              <w:textAlignment w:val="center"/>
              <w:rPr>
                <w:color w:val="000000"/>
              </w:rPr>
            </w:pPr>
          </w:p>
          <w:p w:rsidR="00D12C82" w:rsidRDefault="0010146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"数"说人大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12C82" w:rsidRDefault="0010146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十三届全国人大及其常委会制定法律47件，修改法律111件次，作出法律解释1件；累计督促推动制定机关修改完善或者废止各类规范性文件约2.5</w:t>
            </w:r>
          </w:p>
          <w:p w:rsidR="00D12C82" w:rsidRDefault="0010146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万件；举办了全国人大代表学习班26期；出台关于加强和改进全国人大代表工作的具体措施35条。</w:t>
            </w:r>
          </w:p>
        </w:tc>
      </w:tr>
      <w:tr w:rsidR="00D12C82">
        <w:trPr>
          <w:trHeight w:val="735"/>
        </w:trPr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12C82" w:rsidRDefault="00D12C82">
            <w:pPr>
              <w:spacing w:line="360" w:lineRule="auto"/>
              <w:textAlignment w:val="center"/>
              <w:rPr>
                <w:color w:val="000000"/>
              </w:rPr>
            </w:pPr>
          </w:p>
          <w:p w:rsidR="00D12C82" w:rsidRDefault="00D12C82">
            <w:pPr>
              <w:spacing w:line="360" w:lineRule="auto"/>
              <w:textAlignment w:val="center"/>
              <w:rPr>
                <w:color w:val="000000"/>
              </w:rPr>
            </w:pPr>
          </w:p>
          <w:p w:rsidR="00D12C82" w:rsidRDefault="0010146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工作剪影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12C82" w:rsidRDefault="0010146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2023年1月，全国人大常委会法工委某基层立法联系点召开座谈会，征求农村集体经济组织法(草案)的立法意见，村民积极参与讨论。</w:t>
            </w:r>
          </w:p>
        </w:tc>
      </w:tr>
      <w:tr w:rsidR="00D12C82">
        <w:trPr>
          <w:trHeight w:val="111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12C82" w:rsidRDefault="00D12C82">
            <w:pPr>
              <w:spacing w:line="360" w:lineRule="auto"/>
              <w:ind w:firstLine="420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12C82" w:rsidRDefault="0010146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十三届全国人大常委会连续5年开展执法检查，持续助力污染防治攻坚战和生态文明建设。某人大代表说："在执法检查过程中，我们确实感到天变蓝了，水变清了，海洋环境也变好了。”</w:t>
            </w:r>
          </w:p>
        </w:tc>
      </w:tr>
    </w:tbl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为什么说人民代表大会制度更加成熟更加定型?结合材料，运用政治与法治知识加以分析。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阅读材料，完成下列要求。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1994年，甲媒体委托张某为即将拍摄的动画片创作人物形象，张某先用铅笔勾勒了三个人物概念图。后由甲媒体在原基础上进行再创作，重塑了三个人物形象，载明“人物设计：张某"。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2012年，张某与乙公司签订《著作权转让合同》,转让金额为伍万元人民币，并交割。乙公司向A省版权局成功申请三个人物概念图的作品登记，作者为张某，著作权人为乙公司。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2013年，甲媒体就重塑的三个人物形象图向B直辖市版权局申请作品登记，取得相应作品登记证书，作者为张某，著作权人为甲媒体。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2019年，甲媒体发现乙公司已把重塑的三个人物形象图，加载至某商城电子商务平台运营。甲媒体认为乙公司构成侵权，遂起诉至人民法院。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9986"/>
      </w:tblGrid>
      <w:tr w:rsidR="00D12C82">
        <w:trPr>
          <w:trHeight w:val="17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12C82" w:rsidRDefault="00101460">
            <w:pPr>
              <w:spacing w:line="360" w:lineRule="auto"/>
              <w:ind w:firstLine="420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相关资料</w:t>
            </w:r>
          </w:p>
          <w:p w:rsidR="00D12C82" w:rsidRDefault="00101460">
            <w:pPr>
              <w:spacing w:line="360" w:lineRule="auto"/>
              <w:ind w:firstLine="420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《中华人民共和国著作权法》第十三条改编、翻译、注释、整理已有作品而产生的作品，其著作权由改编、翻译、注释、整理人享有，但行使著作权时不得侵犯原作品的著作权。</w:t>
            </w:r>
          </w:p>
        </w:tc>
      </w:tr>
    </w:tbl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结合材料，运用法律与生活知识，判断甲媒体诉乙公司侵权是否成立，并说明理由。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阅读材料，完成下列要求。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【中国式现代化打破了“现代化=西方化”的迷思】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习近平总书记指出：“我国现代化同西方发达国家有很大不同。西方发达国家是一个‘串联式’的发展过程，工业化、城镇化、农业现代化、信息化顺序发展，发展到目前水平用了二百多年时间。我们要后来居上，把‘失去的二百年’找回来，决定了我国发展必然是一个‘并联式’的过程，工业化、信息化、城镇化、农业现代化是叠加发展的。”现代化的“并联式”过程是中国与西方发达国家在现代化发展时空特征上的最显著区别。</w:t>
      </w:r>
    </w:p>
    <w:p w:rsidR="00D12C82" w:rsidRDefault="00101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中国式现代化必然是一个“并联式”的发展过程。结合材料，运用具体问题具体分析的知识加以说明。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【中国式现代化促进人类文明的整体进步】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人类只有肤色语言之别，文明只有姹紫嫣红之别，但绝无高低优劣之分。“文明冲突论”认为，世界各种文明之间存在着很大差异，这种差异会导致不同民族和国家之间的冲突、敌视甚至战争。中国式现代化破解“文明冲突论”,紧紧扎根中国土壤，立足中华文明发展逻辑，在顺应时代发展潮流的基础上，以辩证方式处理不同文明之间的关系，坚持以文明交流超越文明隔阂，以文明互鉴超越文明冲突，以文明共存</w:t>
      </w:r>
      <w:r>
        <w:rPr>
          <w:rFonts w:ascii="楷体" w:eastAsia="楷体" w:hAnsi="楷体" w:cs="楷体"/>
          <w:color w:val="000000"/>
        </w:rPr>
        <w:lastRenderedPageBreak/>
        <w:t>超越文明优越，弘扬中华文明蕴含的全人类共同价值，为推动人类文明进步贡献了中国智慧。</w:t>
      </w:r>
    </w:p>
    <w:p w:rsidR="00D12C82" w:rsidRDefault="00101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结合材料，运用文化知识，说明中国式现代化是如何破解“文明冲突论”,为推动人类文明进步贡献中国智慧的。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【推进中国式现代化需要丰富人民精神世界】</w:t>
      </w:r>
    </w:p>
    <w:p w:rsidR="00D12C82" w:rsidRDefault="0010146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文物承载灿烂文明，传承历史文化，维系民族精神，是老祖宗留给我们的宝贵遗产，是加强社会主义精神文明建设的深厚滋养。在推进中国式现代化进程中，要通过活化利用让文物重现璀璨光彩，融入现代生活，“让文物活起来”。</w:t>
      </w:r>
    </w:p>
    <w:p w:rsidR="00D12C82" w:rsidRDefault="00101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运用发散思维检核表法中任意一种方法，结合某一具体文物，谈谈怎样让该文物“活”起来。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要求：指出所用具体思维方法，阐明创新路径及其预期效果，不得透露任何个人信息，字数在150字以内。(以下文物仅供参考)</w:t>
      </w: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71069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1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C82" w:rsidRDefault="00D12C82">
      <w:pPr>
        <w:spacing w:line="360" w:lineRule="auto"/>
        <w:textAlignment w:val="center"/>
        <w:rPr>
          <w:color w:val="000000"/>
        </w:rPr>
      </w:pPr>
    </w:p>
    <w:p w:rsidR="00D12C82" w:rsidRDefault="00D12C82">
      <w:pPr>
        <w:spacing w:line="360" w:lineRule="auto"/>
        <w:textAlignment w:val="center"/>
        <w:rPr>
          <w:color w:val="000000"/>
        </w:rPr>
      </w:pPr>
    </w:p>
    <w:p w:rsidR="00D12C82" w:rsidRDefault="001014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br w:type="page"/>
      </w:r>
    </w:p>
    <w:sectPr w:rsidR="00D12C82" w:rsidSect="00D12C82">
      <w:footerReference w:type="default" r:id="rId14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2C82" w:rsidRDefault="00D12C82" w:rsidP="00D12C82">
      <w:r>
        <w:separator/>
      </w:r>
    </w:p>
  </w:endnote>
  <w:endnote w:type="continuationSeparator" w:id="0">
    <w:p w:rsidR="00D12C82" w:rsidRDefault="00D12C82" w:rsidP="00D12C8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楷体">
    <w:altName w:val="宋体"/>
    <w:charset w:val="86"/>
    <w:family w:val="modern"/>
    <w:pitch w:val="fixed"/>
    <w:sig w:usb0="00000000" w:usb1="38CF7CFA" w:usb2="00000016" w:usb3="00000000" w:csb0="0004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0090" w:rsidRPr="00EF0090" w:rsidRDefault="00EF0090" w:rsidP="00EF0090">
    <w:pPr>
      <w:pStyle w:val="a3"/>
      <w:jc w:val="center"/>
      <w:rPr>
        <w:rFonts w:ascii="MS Sans Serif" w:hAnsi="MS Sans Serif"/>
        <w:sz w:val="19"/>
      </w:rPr>
    </w:pPr>
    <w:r w:rsidRPr="00EF0090">
      <w:rPr>
        <w:rFonts w:ascii="MS Sans Serif" w:hAnsi="MS Sans Serif" w:hint="eastAsia"/>
        <w:sz w:val="19"/>
      </w:rPr>
      <w:t>第一试卷网</w:t>
    </w:r>
    <w:r w:rsidRPr="00EF0090">
      <w:rPr>
        <w:rFonts w:ascii="MS Sans Serif" w:hAnsi="MS Sans Serif" w:hint="eastAsia"/>
        <w:sz w:val="19"/>
      </w:rPr>
      <w:t xml:space="preserve">    Shijuan1.Com    </w:t>
    </w:r>
    <w:r w:rsidRPr="00EF0090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2C82" w:rsidRDefault="00D12C82" w:rsidP="00D12C82">
      <w:r>
        <w:separator/>
      </w:r>
    </w:p>
  </w:footnote>
  <w:footnote w:type="continuationSeparator" w:id="0">
    <w:p w:rsidR="00D12C82" w:rsidRDefault="00D12C82" w:rsidP="00D12C8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E4D02"/>
    <w:rsid w:val="00101460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5112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12C82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EF0090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9377D8"/>
    <w:rsid w:val="38274566"/>
    <w:rsid w:val="64976C87"/>
    <w:rsid w:val="77BF16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12C8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D12C82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D12C82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  <w:qFormat/>
    <w:rsid w:val="00D12C82"/>
  </w:style>
  <w:style w:type="character" w:styleId="a6">
    <w:name w:val="Hyperlink"/>
    <w:basedOn w:val="a0"/>
    <w:uiPriority w:val="99"/>
    <w:unhideWhenUsed/>
    <w:qFormat/>
    <w:rsid w:val="00D12C82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D12C82"/>
    <w:rPr>
      <w:kern w:val="2"/>
      <w:sz w:val="18"/>
      <w:szCs w:val="24"/>
    </w:rPr>
  </w:style>
  <w:style w:type="paragraph" w:styleId="a7">
    <w:name w:val="No Spacing"/>
    <w:uiPriority w:val="1"/>
    <w:qFormat/>
    <w:rsid w:val="00D12C82"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rsid w:val="00D12C82"/>
    <w:pPr>
      <w:ind w:firstLineChars="200" w:firstLine="420"/>
    </w:pPr>
  </w:style>
  <w:style w:type="paragraph" w:styleId="a9">
    <w:name w:val="Balloon Text"/>
    <w:basedOn w:val="a"/>
    <w:link w:val="Char0"/>
    <w:semiHidden/>
    <w:unhideWhenUsed/>
    <w:rsid w:val="00101460"/>
    <w:rPr>
      <w:sz w:val="18"/>
      <w:szCs w:val="18"/>
    </w:rPr>
  </w:style>
  <w:style w:type="character" w:customStyle="1" w:styleId="Char0">
    <w:name w:val="批注框文本 Char"/>
    <w:basedOn w:val="a0"/>
    <w:link w:val="a9"/>
    <w:semiHidden/>
    <w:rsid w:val="00101460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290A94-EF28-47CD-A2C7-0EECCD7005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2932</Words>
  <Characters>3051</Characters>
  <Application>Microsoft Office Word</Application>
  <DocSecurity>0</DocSecurity>
  <Lines>117</Lines>
  <Paragraphs>139</Paragraphs>
  <ScaleCrop>false</ScaleCrop>
  <Manager/>
  <Company>http://www.shijuan1.com</Company>
  <LinksUpToDate>false</LinksUpToDate>
  <CharactersWithSpaces>5844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2023-06-26T19:47:00Z</dcterms:created>
  <dcterms:modified xsi:type="dcterms:W3CDTF">2023-07-23T00:12:00Z</dcterms:modified>
  <cp:category/>
</cp:coreProperties>
</file>