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9E422">
      <w:pPr>
        <w:jc w:val="center"/>
        <w:rPr>
          <w:rFonts w:ascii="宋体" w:hAnsi="宋体" w:eastAsia="宋体"/>
          <w:b/>
          <w:color w:val="FF0000"/>
          <w:sz w:val="28"/>
        </w:rPr>
      </w:pPr>
      <w:bookmarkStart w:id="0" w:name="_GoBack"/>
      <w:bookmarkEnd w:id="0"/>
      <w:r>
        <w:rPr>
          <w:rFonts w:hint="eastAsia" w:ascii="宋体" w:hAnsi="宋体" w:eastAsia="宋体"/>
          <w:b/>
          <w:color w:val="FF0000"/>
          <w:sz w:val="28"/>
        </w:rPr>
        <w:t>河北省2019年中考道德与法治真题试题</w:t>
      </w:r>
    </w:p>
    <w:p w14:paraId="4CA1B7D1">
      <w:pPr>
        <w:widowControl/>
        <w:shd w:val="clear" w:color="auto" w:fill="FFFFFF"/>
        <w:spacing w:line="360" w:lineRule="auto"/>
        <w:jc w:val="center"/>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选择题，共50分</w:t>
      </w:r>
    </w:p>
    <w:p w14:paraId="7062F351">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本卷共23题，1～19题每题2分，20～23题每题3分，共50分。在每题列出的四个选项中，只有一项是最符合题目要求的。</w:t>
      </w:r>
    </w:p>
    <w:p w14:paraId="6A288C34">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1.今天的中国，正以开放包容的胸襟、互利共赢的追求，开启不断扩大开放的新征程。下列时事能够印证这一观点的是</w:t>
      </w:r>
    </w:p>
    <w:p w14:paraId="2E531400">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①设立海南自由贸易试验区      ②设立中国农民丰收节    </w:t>
      </w:r>
    </w:p>
    <w:p w14:paraId="17960F24">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③举行中非合作论坛北京峰会   ④举行首届中国国际进口博览会</w:t>
      </w:r>
    </w:p>
    <w:p w14:paraId="00B245E7">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A.①④  B.②③ C.①③④  D.②③④</w:t>
      </w:r>
    </w:p>
    <w:p w14:paraId="6A52D32E">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2.从心底生发的每一点善意都有温度，这样的温度可以化成暖流，让社会少些冷漠，让心灵感受阳光。能对此进行诠释的是</w:t>
      </w:r>
    </w:p>
    <w:p w14:paraId="756D16DC">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①暴雨中，年轻人主动请环卫工人上车避雨</w:t>
      </w:r>
    </w:p>
    <w:p w14:paraId="06BB726A">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②退休老人用蹬三轮挣来的钱资助贫困学生</w:t>
      </w:r>
    </w:p>
    <w:p w14:paraId="1880DB30">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③一些网店为吸引买家雇人刷好评</w:t>
      </w:r>
    </w:p>
    <w:p w14:paraId="758B4BF8">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④雨雪天，700多名杭州消费者在点外卖的同时为外卖小哥下单暖心食品</w:t>
      </w:r>
    </w:p>
    <w:p w14:paraId="32417D35">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A.①②  B.③④  C.①②④  D.②③④</w:t>
      </w:r>
    </w:p>
    <w:p w14:paraId="6B0BCA01">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3.2019年3月5日至15日，十三届全国人大二次会议在北京举行。近300名全国人大代表肩负人民重托出席盛会，认真履行宪法和法律赋予的神圣职责。适宜帮助我们理解这一政治生活的是</w:t>
      </w:r>
    </w:p>
    <w:p w14:paraId="6B94911C">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①我国的根本政治制度     ②民族区域自治制度  ③公民人身自由不受侵犯   ④国家权力属于人民</w:t>
      </w:r>
    </w:p>
    <w:p w14:paraId="67B93642">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A.①②  B.①④  C.②③  D.③④</w:t>
      </w:r>
    </w:p>
    <w:p w14:paraId="51CF04D9">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4.“法治社会，无法外之地，无法外之人，无法外之权，任何人都不能为所欲为，无论是维护权益，还是表达诉求，都必须在法治轨道上进行，任何逾越法律底线的行为，必将受到法律制裁。”其表达的理念是</w:t>
      </w:r>
    </w:p>
    <w:p w14:paraId="7EE3A68E">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①崇尚自由  ②崇尚法治    ③权利重于义务    ④法律面前人人平等</w:t>
      </w:r>
    </w:p>
    <w:p w14:paraId="770DE2CB">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A.①③  B.①④  C.②③  D.②④</w:t>
      </w:r>
    </w:p>
    <w:p w14:paraId="2BA635F1">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铁路是国民经济的大动脉，在经济社会发展中的作用越来越重要。回答5～7题。</w:t>
      </w:r>
    </w:p>
    <w:p w14:paraId="288C9E0A">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5.1978年，我国铁路运营里程仅5.2万公里，到2018年底已经发展到13.1万公里，形成了世界上最现代化的铁路网和最发达的高铁网。了解这一事实，有助于</w:t>
      </w:r>
    </w:p>
    <w:p w14:paraId="05A7F3C2">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①认识改革开放是强国之路         ②认同我国的世界强国地位     ③增强实现社会主义现代化的信心   ④分享实现全面小康的喜悦</w:t>
      </w:r>
    </w:p>
    <w:p w14:paraId="0D791215">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A.①③  B.②③  C.②④  D.③④</w:t>
      </w:r>
    </w:p>
    <w:p w14:paraId="600AC5BB">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6.在京张高铁、京雄城际等智能高铁建设中，云计算、大数据、北斗定位、下一代移动通信、人工智能等高科技正发挥更大的作用，实现高铁智能建设、智能装备、智能运营技术水平的全面提升。这表明</w:t>
      </w:r>
    </w:p>
    <w:p w14:paraId="2012F90A">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①科技发展日新月异  ②科技创新改变生活  ③互联网应用日益广泛   ④我国实现了区域协调发展</w:t>
      </w:r>
    </w:p>
    <w:p w14:paraId="7B1A05C3">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A.①②  B.③④  C.①②③  D.②③④</w:t>
      </w:r>
    </w:p>
    <w:p w14:paraId="06EA0E38">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7.在杭州至黄山铁路修建过程中，曾投巨资有效防止泥浆渗漏污染水体，也曾频频给古树“让路”，尽最大可能不影响古树林的生长。这样做的直接目的是</w:t>
      </w:r>
    </w:p>
    <w:p w14:paraId="7737FE91">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A.发展旅游产业    B.保护生态环境</w:t>
      </w:r>
    </w:p>
    <w:p w14:paraId="3F9AAEF7">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C.节约自然资源    D.促进经济发展</w:t>
      </w:r>
    </w:p>
    <w:p w14:paraId="06AD480D">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筷子不仅是一种进食工具，也具有深厚的文化内涵.回答8～10题</w:t>
      </w:r>
    </w:p>
    <w:p w14:paraId="2AED6BEC">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8.发明于中国的筷子，至今已有三千多年的历史。筷子一头圆、一头方，象征“天圆地方”，反映古代中国人对世界最朴素最基本的看法：筷子的标准长度是七寸六分，代表人有“七情六欲”，是不同于一般动物的情感动物。这让我们感受到中华文化</w:t>
      </w:r>
    </w:p>
    <w:p w14:paraId="2D515BCC">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①源远流长   ②简单明了    ③一成不变    ④充满智慧</w:t>
      </w:r>
    </w:p>
    <w:p w14:paraId="297BA9B5">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A.①④  B.②③  C.②④  D.③④</w:t>
      </w:r>
    </w:p>
    <w:p w14:paraId="08FF66F3">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9.团聚时，父亲及时拦住孩子焦急的筷子示意长辈优先来“明礼”：回到家，母亲不停地用筷子给子女夹菜来表达“关爱”：过春节，把邻居家的孤单老人请到自家餐桌递上一双筷子来“睦邻”……这些场景反映出</w:t>
      </w:r>
    </w:p>
    <w:p w14:paraId="51FBDF95">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①筷子是最好的进食工具②筷子传承着优良家风  ③教育决定着民族未来④中华传统美德代代相传</w:t>
      </w:r>
    </w:p>
    <w:p w14:paraId="57672BB7">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A.①③  B.①④  C.②③  D.②④</w:t>
      </w:r>
    </w:p>
    <w:p w14:paraId="53D05F75">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10.时代演进到今天，筷子作为中华文化的象征之一，出现在世界各地的餐桌上。在一些国家，人们学习中餐礼仪、练习使用筷子，品味中华美食及其背后的深厚文化。这表明</w:t>
      </w:r>
    </w:p>
    <w:p w14:paraId="717A0A33">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①文明因互鉴而丰富  ②不同文化之间的差异在消失   ③中国正在融入世界   ④中华文化的影响力不断提升</w:t>
      </w:r>
    </w:p>
    <w:p w14:paraId="4647F7B9">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A.①②  B.③④  C.①②④  D.①③④</w:t>
      </w:r>
    </w:p>
    <w:p w14:paraId="58B93394">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对少数民族文化感兴趣的艾华，前往居住着苗、何、布依等30多个民族的贵州省黔东南苗族何族自治州，开始自己的文化之旅。回答22～23题。</w:t>
      </w:r>
    </w:p>
    <w:p w14:paraId="4BBD585F">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22.艾华来到了苗族“原始生态”文化保存完整的西江千户苗寨，他在这里可能看到的代表苗族文化的事物或场景是</w:t>
      </w:r>
    </w:p>
    <w:p w14:paraId="3C4E4AFD">
      <w:pPr>
        <w:widowControl/>
        <w:spacing w:line="360" w:lineRule="auto"/>
        <w:jc w:val="center"/>
        <w:rPr>
          <w:rFonts w:ascii="宋体" w:hAnsi="宋体" w:eastAsia="宋体" w:cs="宋体"/>
          <w:kern w:val="0"/>
          <w:szCs w:val="24"/>
        </w:rPr>
      </w:pPr>
      <w:r>
        <w:rPr>
          <w:rFonts w:ascii="宋体" w:hAnsi="宋体" w:eastAsia="宋体"/>
          <w:szCs w:val="24"/>
        </w:rPr>
        <w:drawing>
          <wp:inline distT="0" distB="0" distL="0" distR="0">
            <wp:extent cx="3810000" cy="1571625"/>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0"/>
                    <a:srcRect/>
                    <a:stretch>
                      <a:fillRect/>
                    </a:stretch>
                  </pic:blipFill>
                  <pic:spPr>
                    <a:xfrm>
                      <a:off x="0" y="0"/>
                      <a:ext cx="3810000" cy="1571625"/>
                    </a:xfrm>
                    <a:prstGeom prst="rect">
                      <a:avLst/>
                    </a:prstGeom>
                    <a:noFill/>
                    <a:ln w="9525">
                      <a:noFill/>
                      <a:miter lim="800000"/>
                      <a:headEnd/>
                      <a:tailEnd/>
                    </a:ln>
                  </pic:spPr>
                </pic:pic>
              </a:graphicData>
            </a:graphic>
          </wp:inline>
        </w:drawing>
      </w:r>
      <w:r>
        <w:rPr>
          <w:rFonts w:ascii="宋体" w:hAnsi="宋体" w:eastAsia="宋体"/>
          <w:szCs w:val="24"/>
        </w:rPr>
        <w:drawing>
          <wp:inline distT="0" distB="0" distL="0" distR="0">
            <wp:extent cx="3695700" cy="1562100"/>
            <wp:effectExtent l="1905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a:srcRect/>
                    <a:stretch>
                      <a:fillRect/>
                    </a:stretch>
                  </pic:blipFill>
                  <pic:spPr>
                    <a:xfrm>
                      <a:off x="0" y="0"/>
                      <a:ext cx="3695700" cy="1562100"/>
                    </a:xfrm>
                    <a:prstGeom prst="rect">
                      <a:avLst/>
                    </a:prstGeom>
                    <a:noFill/>
                    <a:ln w="9525">
                      <a:noFill/>
                      <a:miter lim="800000"/>
                      <a:headEnd/>
                      <a:tailEnd/>
                    </a:ln>
                  </pic:spPr>
                </pic:pic>
              </a:graphicData>
            </a:graphic>
          </wp:inline>
        </w:drawing>
      </w:r>
    </w:p>
    <w:p w14:paraId="026A3ED9">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A.①③    B.②③    C.①②④    D.②③④</w:t>
      </w:r>
    </w:p>
    <w:p w14:paraId="7FF53401">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23.旅途中，艾华还领略了侗族、布依族、壮族等民族文化的风采，对少数民族文化有了更为全面的认识。艾华的认识应是</w:t>
      </w:r>
    </w:p>
    <w:p w14:paraId="12DBF045">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①少数民族文化绚丽多彩     ②少数民族文化是中华文化的重要组成部分     ③少数民族文化互不影响      ④要加强对少数民族文化的传承和保护</w:t>
      </w:r>
    </w:p>
    <w:p w14:paraId="2DBA7A2E">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A.①③  B.②④  C.①②④  D.①②③④</w:t>
      </w:r>
    </w:p>
    <w:p w14:paraId="479E7588">
      <w:pPr>
        <w:widowControl/>
        <w:shd w:val="clear" w:color="auto" w:fill="FFFFFF"/>
        <w:spacing w:line="360" w:lineRule="auto"/>
        <w:jc w:val="center"/>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非选择题，共70分</w:t>
      </w:r>
    </w:p>
    <w:p w14:paraId="70105A49">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24.关注社会文明。（9分）</w:t>
      </w:r>
    </w:p>
    <w:p w14:paraId="3962A25D">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公交车上，因坐过站硬要中途下车，纠缠司机，造成事故；高铁上，不肯对号入座，公然“霸座”，扰乱秩序；小区里，遛狗不拴绳，惊吓路人，甚至恶犬伤人……此类发生在公共场合的不文明行为受到公众和媒体的普遍谴责，这些社会舆论反映了对公民文明素质的期待；法治也及时作出了回应，触犯法律的行为受到了法律制裁，促进了公民文明素质的提高。</w:t>
      </w:r>
    </w:p>
    <w:p w14:paraId="45E5A139">
      <w:pPr>
        <w:widowControl/>
        <w:shd w:val="clear" w:color="auto" w:fill="FFFFFF"/>
        <w:spacing w:line="360" w:lineRule="auto"/>
        <w:rPr>
          <w:rFonts w:ascii="宋体" w:hAnsi="宋体" w:eastAsia="宋体" w:cs="宋体"/>
          <w:color w:val="333333"/>
          <w:spacing w:val="8"/>
          <w:kern w:val="0"/>
          <w:szCs w:val="24"/>
        </w:rPr>
      </w:pPr>
    </w:p>
    <w:p w14:paraId="583A11C1">
      <w:pPr>
        <w:widowControl/>
        <w:spacing w:line="360" w:lineRule="auto"/>
        <w:jc w:val="center"/>
        <w:rPr>
          <w:rFonts w:ascii="宋体" w:hAnsi="宋体" w:eastAsia="宋体" w:cs="宋体"/>
          <w:kern w:val="0"/>
          <w:szCs w:val="24"/>
        </w:rPr>
      </w:pPr>
      <w:r>
        <w:rPr>
          <w:rFonts w:ascii="宋体" w:hAnsi="宋体" w:eastAsia="宋体" w:cs="宋体"/>
          <w:kern w:val="0"/>
          <w:szCs w:val="24"/>
        </w:rPr>
        <w:t>法  治  回  应</w:t>
      </w:r>
    </w:p>
    <w:p w14:paraId="3C970996">
      <w:pPr>
        <w:widowControl/>
        <w:spacing w:line="360" w:lineRule="auto"/>
        <w:jc w:val="left"/>
        <w:rPr>
          <w:rFonts w:ascii="宋体" w:hAnsi="宋体" w:eastAsia="宋体" w:cs="宋体"/>
          <w:kern w:val="0"/>
          <w:szCs w:val="24"/>
        </w:rPr>
      </w:pPr>
      <w:r>
        <w:rPr>
          <w:rFonts w:ascii="宋体" w:hAnsi="宋体" w:eastAsia="宋体" w:cs="宋体"/>
          <w:kern w:val="0"/>
          <w:szCs w:val="24"/>
        </w:rPr>
        <w:t>◇沈阳高新技术产业开发区法院宣判了3起拉拽公交司机案，3名被告人的行为均构成以危险方法危害公共安全罪，被一审判处有期徒刑3年、缓刑4年不等的刑罚。</w:t>
      </w:r>
    </w:p>
    <w:p w14:paraId="53D27B0A">
      <w:pPr>
        <w:widowControl/>
        <w:spacing w:line="360" w:lineRule="auto"/>
        <w:jc w:val="left"/>
        <w:rPr>
          <w:rFonts w:ascii="宋体" w:hAnsi="宋体" w:eastAsia="宋体" w:cs="宋体"/>
          <w:kern w:val="0"/>
          <w:szCs w:val="24"/>
        </w:rPr>
      </w:pPr>
      <w:r>
        <w:rPr>
          <w:rFonts w:ascii="宋体" w:hAnsi="宋体" w:eastAsia="宋体" w:cs="宋体"/>
          <w:kern w:val="0"/>
          <w:szCs w:val="24"/>
        </w:rPr>
        <w:t>◇济南铁路公安处依据《治安管理处罚法》，给予“霸座”男子孙某治安罚款200元的处罚。</w:t>
      </w:r>
    </w:p>
    <w:p w14:paraId="2DA0B4B4">
      <w:pPr>
        <w:widowControl/>
        <w:spacing w:line="360" w:lineRule="auto"/>
        <w:jc w:val="left"/>
        <w:rPr>
          <w:rFonts w:ascii="宋体" w:hAnsi="宋体" w:eastAsia="宋体" w:cs="宋体"/>
          <w:kern w:val="0"/>
          <w:szCs w:val="24"/>
        </w:rPr>
      </w:pPr>
      <w:r>
        <w:rPr>
          <w:rFonts w:ascii="宋体" w:hAnsi="宋体" w:eastAsia="宋体" w:cs="宋体"/>
          <w:kern w:val="0"/>
          <w:szCs w:val="24"/>
        </w:rPr>
        <w:t>◇2018年，广州警方处理涉犬警情纠纷1500余宗，处行政处罚260多人次。</w:t>
      </w:r>
    </w:p>
    <w:p w14:paraId="6B2B3CEC">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（1）公众和媒体的态度反映了对哪些文明素质的期待。（3分）</w:t>
      </w:r>
      <w:r>
        <w:rPr>
          <w:rFonts w:hint="eastAsia" w:ascii="宋体" w:hAnsi="宋体" w:eastAsia="宋体" w:cs="宋体"/>
          <w:color w:val="333333"/>
          <w:spacing w:val="8"/>
          <w:kern w:val="0"/>
          <w:szCs w:val="24"/>
        </w:rPr>
        <w:br w:type="textWrapping"/>
      </w:r>
    </w:p>
    <w:p w14:paraId="0E7FEA51">
      <w:pPr>
        <w:widowControl/>
        <w:shd w:val="clear" w:color="auto" w:fill="FFFFFF"/>
        <w:spacing w:line="360" w:lineRule="auto"/>
        <w:rPr>
          <w:rFonts w:ascii="宋体" w:hAnsi="宋体" w:eastAsia="宋体" w:cs="宋体"/>
          <w:color w:val="333333"/>
          <w:spacing w:val="8"/>
          <w:kern w:val="0"/>
          <w:szCs w:val="24"/>
        </w:rPr>
      </w:pPr>
    </w:p>
    <w:p w14:paraId="29020D85">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（2）简要说明“法治回应”为什么能促进公民文明素质的提高。（3分）</w:t>
      </w:r>
    </w:p>
    <w:p w14:paraId="7EB238A0">
      <w:pPr>
        <w:widowControl/>
        <w:shd w:val="clear" w:color="auto" w:fill="FFFFFF"/>
        <w:spacing w:line="360" w:lineRule="auto"/>
        <w:rPr>
          <w:rFonts w:ascii="宋体" w:hAnsi="宋体" w:eastAsia="宋体" w:cs="宋体"/>
          <w:color w:val="333333"/>
          <w:spacing w:val="8"/>
          <w:kern w:val="0"/>
          <w:szCs w:val="24"/>
        </w:rPr>
      </w:pPr>
    </w:p>
    <w:p w14:paraId="089FCF08">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（3）据上述材料及问题，归纳出提升社会文明的途径。（3分）</w:t>
      </w:r>
    </w:p>
    <w:p w14:paraId="7D81616E">
      <w:pPr>
        <w:widowControl/>
        <w:shd w:val="clear" w:color="auto" w:fill="FFFFFF"/>
        <w:spacing w:line="360" w:lineRule="auto"/>
        <w:rPr>
          <w:rFonts w:ascii="宋体" w:hAnsi="宋体" w:eastAsia="宋体" w:cs="宋体"/>
          <w:color w:val="333333"/>
          <w:spacing w:val="8"/>
          <w:kern w:val="0"/>
          <w:szCs w:val="24"/>
        </w:rPr>
      </w:pPr>
    </w:p>
    <w:p w14:paraId="0558758B">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25.走进法治生活。（10分）</w:t>
      </w:r>
    </w:p>
    <w:p w14:paraId="3532E82A">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近年来，北京市数量庞大的超标电动自行车如脱缰野马，成为危害道路交通安全的隐患，社会各界要求对电动自行车加强管理的呼声日益强烈。经充分调研论证，凝聚共识，2018年9月28日，北京市人大常委会审议通过了《北京市非机动车管理条例》（以下简称《条例》），并于当年11月1日开始实施。</w:t>
      </w:r>
    </w:p>
    <w:p w14:paraId="51108709">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《条例》规定，电动自行车需登记挂牌才可上路，凡是不符合国家标准的电动自行车不能上路行驶。《条例》的出台不仅让车主有了合法身份，也让政府的交管部门摆脱了“无法可依”的尴尬。</w:t>
      </w:r>
    </w:p>
    <w:p w14:paraId="41842854">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（1）请简要说明为什么是北京市人大常委会审议通过《条例》。（3分）</w:t>
      </w:r>
    </w:p>
    <w:p w14:paraId="71ADAEDE">
      <w:pPr>
        <w:widowControl/>
        <w:shd w:val="clear" w:color="auto" w:fill="FFFFFF"/>
        <w:spacing w:line="360" w:lineRule="auto"/>
        <w:rPr>
          <w:rFonts w:ascii="宋体" w:hAnsi="宋体" w:eastAsia="宋体" w:cs="宋体"/>
          <w:color w:val="333333"/>
          <w:spacing w:val="8"/>
          <w:kern w:val="0"/>
          <w:szCs w:val="24"/>
        </w:rPr>
      </w:pPr>
    </w:p>
    <w:p w14:paraId="25A8384B">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（2）从宪法的法律效力看，《条例》能够审议通过的基本要求是什么？（2分）</w:t>
      </w:r>
    </w:p>
    <w:p w14:paraId="2461E3F0">
      <w:pPr>
        <w:widowControl/>
        <w:shd w:val="clear" w:color="auto" w:fill="FFFFFF"/>
        <w:spacing w:line="360" w:lineRule="auto"/>
        <w:rPr>
          <w:rFonts w:ascii="宋体" w:hAnsi="宋体" w:eastAsia="宋体" w:cs="宋体"/>
          <w:color w:val="333333"/>
          <w:spacing w:val="8"/>
          <w:kern w:val="0"/>
          <w:szCs w:val="24"/>
        </w:rPr>
      </w:pPr>
    </w:p>
    <w:p w14:paraId="3452CDB1">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（3）要发挥《条例》的作用，广大市民和交管部门应该怎样做？（2分）</w:t>
      </w:r>
    </w:p>
    <w:p w14:paraId="6A20AA82">
      <w:pPr>
        <w:widowControl/>
        <w:shd w:val="clear" w:color="auto" w:fill="FFFFFF"/>
        <w:spacing w:line="360" w:lineRule="auto"/>
        <w:rPr>
          <w:rFonts w:ascii="宋体" w:hAnsi="宋体" w:eastAsia="宋体" w:cs="宋体"/>
          <w:color w:val="333333"/>
          <w:spacing w:val="8"/>
          <w:kern w:val="0"/>
          <w:szCs w:val="24"/>
        </w:rPr>
      </w:pPr>
    </w:p>
    <w:p w14:paraId="7E5B8A68">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（4）由《条例》的制定、实施看政府权力的获得、行使，你能得出什么认识？（3分）</w:t>
      </w:r>
    </w:p>
    <w:p w14:paraId="344E3DAA">
      <w:pPr>
        <w:widowControl/>
        <w:shd w:val="clear" w:color="auto" w:fill="FFFFFF"/>
        <w:spacing w:line="360" w:lineRule="auto"/>
        <w:rPr>
          <w:rFonts w:ascii="宋体" w:hAnsi="宋体" w:eastAsia="宋体" w:cs="宋体"/>
          <w:color w:val="333333"/>
          <w:spacing w:val="8"/>
          <w:kern w:val="0"/>
          <w:szCs w:val="24"/>
        </w:rPr>
      </w:pPr>
    </w:p>
    <w:p w14:paraId="47E2AD47">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28.阅读材料，综合运用所学知识探究问题。</w:t>
      </w:r>
      <w:r>
        <w:rPr>
          <w:rFonts w:hint="eastAsia" w:ascii="宋体" w:hAnsi="宋体" w:eastAsia="宋体" w:cs="宋体"/>
          <w:color w:val="333333"/>
          <w:spacing w:val="8"/>
          <w:kern w:val="0"/>
          <w:szCs w:val="24"/>
        </w:rPr>
        <w:br w:type="textWrapping"/>
      </w:r>
    </w:p>
    <w:tbl>
      <w:tblPr>
        <w:tblStyle w:val="6"/>
        <w:tblW w:w="8340" w:type="dxa"/>
        <w:tblInd w:w="0" w:type="dxa"/>
        <w:shd w:val="clear" w:color="auto" w:fill="FFFFFF"/>
        <w:tblLayout w:type="autofit"/>
        <w:tblCellMar>
          <w:top w:w="0" w:type="dxa"/>
          <w:left w:w="0" w:type="dxa"/>
          <w:bottom w:w="0" w:type="dxa"/>
          <w:right w:w="0" w:type="dxa"/>
        </w:tblCellMar>
      </w:tblPr>
      <w:tblGrid>
        <w:gridCol w:w="7822"/>
        <w:gridCol w:w="518"/>
      </w:tblGrid>
      <w:tr w14:paraId="1F8CBBC1">
        <w:tblPrEx>
          <w:shd w:val="clear" w:color="auto" w:fill="FFFFFF"/>
          <w:tblCellMar>
            <w:top w:w="0" w:type="dxa"/>
            <w:left w:w="0" w:type="dxa"/>
            <w:bottom w:w="0" w:type="dxa"/>
            <w:right w:w="0" w:type="dxa"/>
          </w:tblCellMar>
        </w:tblPrEx>
        <w:tc>
          <w:tcPr>
            <w:tcW w:w="2625"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115" w:type="dxa"/>
              <w:bottom w:w="0" w:type="dxa"/>
              <w:right w:w="115" w:type="dxa"/>
            </w:tcMar>
          </w:tcPr>
          <w:p w14:paraId="0E49509E">
            <w:pPr>
              <w:widowControl/>
              <w:wordWrap w:val="0"/>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                                         英雄榜（二）</w:t>
            </w:r>
          </w:p>
        </w:tc>
      </w:tr>
      <w:tr w14:paraId="1D38EE30">
        <w:tblPrEx>
          <w:tblCellMar>
            <w:top w:w="0" w:type="dxa"/>
            <w:left w:w="0" w:type="dxa"/>
            <w:bottom w:w="0" w:type="dxa"/>
            <w:right w:w="0" w:type="dxa"/>
          </w:tblCellMar>
        </w:tblPrEx>
        <w:tc>
          <w:tcPr>
            <w:tcW w:w="2865" w:type="dxa"/>
            <w:tcBorders>
              <w:top w:val="nil"/>
              <w:left w:val="single" w:color="00000A" w:sz="6" w:space="0"/>
              <w:bottom w:val="single" w:color="00000A" w:sz="6" w:space="0"/>
              <w:right w:val="nil"/>
            </w:tcBorders>
            <w:shd w:val="clear" w:color="auto" w:fill="FFFFFF"/>
            <w:tcMar>
              <w:top w:w="0" w:type="dxa"/>
              <w:left w:w="115" w:type="dxa"/>
              <w:bottom w:w="0" w:type="dxa"/>
              <w:right w:w="0" w:type="dxa"/>
            </w:tcMar>
          </w:tcPr>
          <w:p w14:paraId="2C6F359F">
            <w:pPr>
              <w:widowControl/>
              <w:wordWrap w:val="0"/>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袁隆平，致力于杂交水稻研究，几十年不辞辛劳地辗转于湖南、云南、海南、广东等地，经过多年反复试验，成功培育出籼型杂交水稻。截至2017年，杂交水稻在我国就已累计推广超90亿亩，共增产稻谷6000多亿公斤。“当我能用科学成就在世界舞台上争得一席之地时，首先想到的是，我为中国人争得了荣誉和尊严。”袁隆平说。</w:t>
            </w:r>
            <w:r>
              <w:rPr>
                <w:rFonts w:hint="eastAsia" w:ascii="宋体" w:hAnsi="宋体" w:eastAsia="宋体" w:cs="宋体"/>
                <w:color w:val="333333"/>
                <w:spacing w:val="8"/>
                <w:kern w:val="0"/>
                <w:szCs w:val="24"/>
              </w:rPr>
              <w:drawing>
                <wp:anchor distT="0" distB="0" distL="114300" distR="114300" simplePos="0" relativeHeight="251659264" behindDoc="0" locked="0" layoutInCell="1" allowOverlap="1">
                  <wp:simplePos x="0" y="0"/>
                  <wp:positionH relativeFrom="column">
                    <wp:posOffset>19050</wp:posOffset>
                  </wp:positionH>
                  <wp:positionV relativeFrom="paragraph">
                    <wp:posOffset>55245</wp:posOffset>
                  </wp:positionV>
                  <wp:extent cx="2076450" cy="1676400"/>
                  <wp:effectExtent l="19050" t="0" r="0" b="0"/>
                  <wp:wrapSquare wrapText="bothSides"/>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2"/>
                          <a:srcRect/>
                          <a:stretch>
                            <a:fillRect/>
                          </a:stretch>
                        </pic:blipFill>
                        <pic:spPr>
                          <a:xfrm>
                            <a:off x="0" y="0"/>
                            <a:ext cx="2076450" cy="1676400"/>
                          </a:xfrm>
                          <a:prstGeom prst="rect">
                            <a:avLst/>
                          </a:prstGeom>
                          <a:noFill/>
                          <a:ln w="9525">
                            <a:noFill/>
                            <a:miter lim="800000"/>
                            <a:headEnd/>
                            <a:tailEnd/>
                          </a:ln>
                        </pic:spPr>
                      </pic:pic>
                    </a:graphicData>
                  </a:graphic>
                </wp:anchor>
              </w:drawing>
            </w:r>
          </w:p>
          <w:p w14:paraId="57E13598">
            <w:pPr>
              <w:widowControl/>
              <w:wordWrap w:val="0"/>
              <w:spacing w:line="360" w:lineRule="auto"/>
              <w:rPr>
                <w:rFonts w:ascii="宋体" w:hAnsi="宋体" w:eastAsia="宋体" w:cs="宋体"/>
                <w:color w:val="333333"/>
                <w:spacing w:val="8"/>
                <w:kern w:val="0"/>
                <w:szCs w:val="24"/>
              </w:rPr>
            </w:pPr>
            <w:r>
              <w:rPr>
                <w:rFonts w:ascii="宋体" w:hAnsi="宋体" w:eastAsia="宋体" w:cs="宋体"/>
                <w:color w:val="333333"/>
                <w:spacing w:val="8"/>
                <w:kern w:val="0"/>
                <w:szCs w:val="24"/>
              </w:rPr>
              <w:pict>
                <v:shape id="_x0000_i1025" o:spt="75" type="#_x0000_t75" style="height:24pt;width:24pt;" filled="f" o:preferrelative="t" stroked="f" coordsize="21600,21600">
                  <v:path/>
                  <v:fill on="f" focussize="0,0"/>
                  <v:stroke on="f" joinstyle="miter"/>
                  <v:imagedata o:title=""/>
                  <o:lock v:ext="edit" aspectratio="t"/>
                  <w10:wrap type="none"/>
                  <w10:anchorlock/>
                </v:shape>
              </w:pict>
            </w:r>
          </w:p>
          <w:p w14:paraId="0E83D276">
            <w:pPr>
              <w:widowControl/>
              <w:wordWrap w:val="0"/>
              <w:spacing w:line="360" w:lineRule="auto"/>
              <w:rPr>
                <w:rFonts w:ascii="宋体" w:hAnsi="宋体" w:eastAsia="宋体" w:cs="宋体"/>
                <w:color w:val="333333"/>
                <w:spacing w:val="8"/>
                <w:kern w:val="0"/>
                <w:szCs w:val="24"/>
              </w:rPr>
            </w:pPr>
          </w:p>
        </w:tc>
        <w:tc>
          <w:tcPr>
            <w:tcW w:w="75" w:type="dxa"/>
            <w:tcBorders>
              <w:top w:val="single" w:color="00000A" w:sz="6" w:space="0"/>
              <w:left w:val="nil"/>
              <w:bottom w:val="single" w:color="00000A" w:sz="6" w:space="0"/>
              <w:right w:val="single" w:color="00000A" w:sz="6" w:space="0"/>
            </w:tcBorders>
            <w:shd w:val="clear" w:color="auto" w:fill="FFFFFF"/>
            <w:tcMar>
              <w:top w:w="0" w:type="dxa"/>
              <w:left w:w="0" w:type="dxa"/>
              <w:bottom w:w="0" w:type="dxa"/>
              <w:right w:w="115" w:type="dxa"/>
            </w:tcMar>
            <w:vAlign w:val="center"/>
          </w:tcPr>
          <w:p w14:paraId="3BF4E253">
            <w:pPr>
              <w:widowControl/>
              <w:wordWrap w:val="0"/>
              <w:spacing w:line="360" w:lineRule="auto"/>
              <w:rPr>
                <w:rFonts w:ascii="宋体" w:hAnsi="宋体" w:eastAsia="宋体" w:cs="宋体"/>
                <w:color w:val="333333"/>
                <w:spacing w:val="8"/>
                <w:kern w:val="0"/>
                <w:szCs w:val="24"/>
              </w:rPr>
            </w:pPr>
          </w:p>
        </w:tc>
      </w:tr>
      <w:tr w14:paraId="1267F35F">
        <w:tblPrEx>
          <w:tblCellMar>
            <w:top w:w="0" w:type="dxa"/>
            <w:left w:w="0" w:type="dxa"/>
            <w:bottom w:w="0" w:type="dxa"/>
            <w:right w:w="0" w:type="dxa"/>
          </w:tblCellMar>
        </w:tblPrEx>
        <w:tc>
          <w:tcPr>
            <w:tcW w:w="2865" w:type="dxa"/>
            <w:tcBorders>
              <w:top w:val="single" w:color="00000A" w:sz="6" w:space="0"/>
              <w:left w:val="single" w:color="00000A" w:sz="6" w:space="0"/>
              <w:bottom w:val="single" w:color="00000A" w:sz="6" w:space="0"/>
              <w:right w:val="nil"/>
            </w:tcBorders>
            <w:shd w:val="clear" w:color="auto" w:fill="FFFFFF"/>
            <w:tcMar>
              <w:top w:w="0" w:type="dxa"/>
              <w:left w:w="115" w:type="dxa"/>
              <w:bottom w:w="0" w:type="dxa"/>
              <w:right w:w="0" w:type="dxa"/>
            </w:tcMar>
          </w:tcPr>
          <w:p w14:paraId="1A7CC989">
            <w:pPr>
              <w:widowControl/>
              <w:wordWrap w:val="0"/>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drawing>
                <wp:anchor distT="0" distB="0" distL="114300" distR="114300" simplePos="0" relativeHeight="251660288" behindDoc="0" locked="0" layoutInCell="1" allowOverlap="1">
                  <wp:simplePos x="0" y="0"/>
                  <wp:positionH relativeFrom="column">
                    <wp:posOffset>19050</wp:posOffset>
                  </wp:positionH>
                  <wp:positionV relativeFrom="paragraph">
                    <wp:posOffset>41910</wp:posOffset>
                  </wp:positionV>
                  <wp:extent cx="2009775" cy="1828800"/>
                  <wp:effectExtent l="19050" t="0" r="9525" b="0"/>
                  <wp:wrapSquare wrapText="bothSides"/>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noChangeArrowheads="1"/>
                          </pic:cNvPicPr>
                        </pic:nvPicPr>
                        <pic:blipFill>
                          <a:blip r:embed="rId13"/>
                          <a:srcRect/>
                          <a:stretch>
                            <a:fillRect/>
                          </a:stretch>
                        </pic:blipFill>
                        <pic:spPr>
                          <a:xfrm>
                            <a:off x="0" y="0"/>
                            <a:ext cx="2009775" cy="1828800"/>
                          </a:xfrm>
                          <a:prstGeom prst="rect">
                            <a:avLst/>
                          </a:prstGeom>
                          <a:noFill/>
                          <a:ln w="9525">
                            <a:noFill/>
                            <a:miter lim="800000"/>
                            <a:headEnd/>
                            <a:tailEnd/>
                          </a:ln>
                        </pic:spPr>
                      </pic:pic>
                    </a:graphicData>
                  </a:graphic>
                </wp:anchor>
              </w:drawing>
            </w:r>
            <w:r>
              <w:rPr>
                <w:rFonts w:hint="eastAsia" w:ascii="宋体" w:hAnsi="宋体" w:eastAsia="宋体" w:cs="宋体"/>
                <w:color w:val="333333"/>
                <w:spacing w:val="8"/>
                <w:kern w:val="0"/>
                <w:szCs w:val="24"/>
              </w:rPr>
              <w:t>黄旭华，我国核潜艇总体设计研究专家，隐姓埋名30年，与惊涛骇浪做伴，孜孜不倦地战斗在核潜艇研制一线，为我国第一代核潜艇的从无到有、第二代核潜艇的跨越发展和第三代核潜艇的探索赶超作出了卓越的贡献。“我这辈子没有虚度，一生都属于核潜艇、属于祖国，我无怨无悔！”这是黄旭华一直以来的坚守。</w:t>
            </w:r>
          </w:p>
          <w:p w14:paraId="00D7788D">
            <w:pPr>
              <w:widowControl/>
              <w:wordWrap w:val="0"/>
              <w:spacing w:line="360" w:lineRule="auto"/>
              <w:rPr>
                <w:rFonts w:ascii="宋体" w:hAnsi="宋体" w:eastAsia="宋体" w:cs="宋体"/>
                <w:color w:val="333333"/>
                <w:spacing w:val="8"/>
                <w:kern w:val="0"/>
                <w:szCs w:val="24"/>
              </w:rPr>
            </w:pPr>
            <w:r>
              <w:rPr>
                <w:rFonts w:ascii="宋体" w:hAnsi="宋体" w:eastAsia="宋体" w:cs="宋体"/>
                <w:color w:val="333333"/>
                <w:spacing w:val="8"/>
                <w:kern w:val="0"/>
                <w:szCs w:val="24"/>
              </w:rPr>
              <w:pict>
                <v:shape id="_x0000_i1026" o:spt="75" type="#_x0000_t75" style="height:24pt;width:24pt;" filled="f" o:preferrelative="t" stroked="f" coordsize="21600,21600">
                  <v:path/>
                  <v:fill on="f" focussize="0,0"/>
                  <v:stroke on="f" joinstyle="miter"/>
                  <v:imagedata o:title=""/>
                  <o:lock v:ext="edit" aspectratio="t"/>
                  <w10:wrap type="none"/>
                  <w10:anchorlock/>
                </v:shape>
              </w:pict>
            </w:r>
          </w:p>
          <w:p w14:paraId="361E6482">
            <w:pPr>
              <w:widowControl/>
              <w:wordWrap w:val="0"/>
              <w:spacing w:line="360" w:lineRule="auto"/>
              <w:rPr>
                <w:rFonts w:ascii="宋体" w:hAnsi="宋体" w:eastAsia="宋体" w:cs="宋体"/>
                <w:color w:val="333333"/>
                <w:spacing w:val="8"/>
                <w:kern w:val="0"/>
                <w:szCs w:val="24"/>
              </w:rPr>
            </w:pPr>
          </w:p>
        </w:tc>
        <w:tc>
          <w:tcPr>
            <w:tcW w:w="75" w:type="dxa"/>
            <w:tcBorders>
              <w:top w:val="single" w:color="00000A" w:sz="6" w:space="0"/>
              <w:left w:val="nil"/>
              <w:bottom w:val="single" w:color="00000A" w:sz="6" w:space="0"/>
              <w:right w:val="single" w:color="00000A" w:sz="6" w:space="0"/>
            </w:tcBorders>
            <w:shd w:val="clear" w:color="auto" w:fill="FFFFFF"/>
            <w:tcMar>
              <w:top w:w="0" w:type="dxa"/>
              <w:left w:w="0" w:type="dxa"/>
              <w:bottom w:w="0" w:type="dxa"/>
              <w:right w:w="115" w:type="dxa"/>
            </w:tcMar>
            <w:vAlign w:val="center"/>
          </w:tcPr>
          <w:p w14:paraId="33C50AF3">
            <w:pPr>
              <w:widowControl/>
              <w:wordWrap w:val="0"/>
              <w:spacing w:line="360" w:lineRule="auto"/>
              <w:rPr>
                <w:rFonts w:ascii="宋体" w:hAnsi="宋体" w:eastAsia="宋体" w:cs="宋体"/>
                <w:color w:val="333333"/>
                <w:spacing w:val="8"/>
                <w:kern w:val="0"/>
                <w:szCs w:val="24"/>
              </w:rPr>
            </w:pPr>
          </w:p>
        </w:tc>
      </w:tr>
      <w:tr w14:paraId="4D16F96A">
        <w:tblPrEx>
          <w:tblCellMar>
            <w:top w:w="0" w:type="dxa"/>
            <w:left w:w="0" w:type="dxa"/>
            <w:bottom w:w="0" w:type="dxa"/>
            <w:right w:w="0" w:type="dxa"/>
          </w:tblCellMar>
        </w:tblPrEx>
        <w:trPr>
          <w:trHeight w:val="1875" w:hRule="atLeast"/>
        </w:trPr>
        <w:tc>
          <w:tcPr>
            <w:tcW w:w="2865" w:type="dxa"/>
            <w:tcBorders>
              <w:top w:val="single" w:color="00000A" w:sz="6" w:space="0"/>
              <w:left w:val="single" w:color="00000A" w:sz="6" w:space="0"/>
              <w:bottom w:val="single" w:color="00000A" w:sz="6" w:space="0"/>
              <w:right w:val="nil"/>
            </w:tcBorders>
            <w:shd w:val="clear" w:color="auto" w:fill="FFFFFF"/>
            <w:tcMar>
              <w:top w:w="0" w:type="dxa"/>
              <w:left w:w="115" w:type="dxa"/>
              <w:bottom w:w="0" w:type="dxa"/>
              <w:right w:w="0" w:type="dxa"/>
            </w:tcMar>
          </w:tcPr>
          <w:p w14:paraId="753FF2EA">
            <w:pPr>
              <w:widowControl/>
              <w:wordWrap w:val="0"/>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drawing>
                <wp:anchor distT="0" distB="0" distL="114300" distR="114300" simplePos="0" relativeHeight="251661312" behindDoc="0" locked="0" layoutInCell="1" allowOverlap="1">
                  <wp:simplePos x="0" y="0"/>
                  <wp:positionH relativeFrom="column">
                    <wp:posOffset>19050</wp:posOffset>
                  </wp:positionH>
                  <wp:positionV relativeFrom="paragraph">
                    <wp:posOffset>15240</wp:posOffset>
                  </wp:positionV>
                  <wp:extent cx="2000250" cy="2266950"/>
                  <wp:effectExtent l="19050" t="0" r="0"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a:srcRect/>
                          <a:stretch>
                            <a:fillRect/>
                          </a:stretch>
                        </pic:blipFill>
                        <pic:spPr>
                          <a:xfrm>
                            <a:off x="0" y="0"/>
                            <a:ext cx="2000250" cy="2266950"/>
                          </a:xfrm>
                          <a:prstGeom prst="rect">
                            <a:avLst/>
                          </a:prstGeom>
                          <a:noFill/>
                          <a:ln w="9525">
                            <a:noFill/>
                            <a:miter lim="800000"/>
                            <a:headEnd/>
                            <a:tailEnd/>
                          </a:ln>
                        </pic:spPr>
                      </pic:pic>
                    </a:graphicData>
                  </a:graphic>
                </wp:anchor>
              </w:drawing>
            </w:r>
            <w:r>
              <w:rPr>
                <w:rFonts w:hint="eastAsia" w:ascii="宋体" w:hAnsi="宋体" w:eastAsia="宋体" w:cs="宋体"/>
                <w:color w:val="333333"/>
                <w:spacing w:val="8"/>
                <w:kern w:val="0"/>
                <w:szCs w:val="24"/>
              </w:rPr>
              <w:t>南仁东，潜心天文研究，主导提出利用我国贵州省喀斯特洼地作为望远镜台址，从论证立项到选址建设历时22年，主持攻克了一系列技术难题，为FAST重大科学工程建设发挥了关键作用。为实现中国拥有世界一流水平的天文望远镜的梦想，他毫无保留地燃烧生命直到最后一刻。</w:t>
            </w:r>
          </w:p>
          <w:p w14:paraId="7F9604A3">
            <w:pPr>
              <w:widowControl/>
              <w:wordWrap w:val="0"/>
              <w:spacing w:line="360" w:lineRule="auto"/>
              <w:rPr>
                <w:rFonts w:ascii="宋体" w:hAnsi="宋体" w:eastAsia="宋体" w:cs="宋体"/>
                <w:color w:val="333333"/>
                <w:spacing w:val="8"/>
                <w:kern w:val="0"/>
                <w:szCs w:val="24"/>
              </w:rPr>
            </w:pPr>
          </w:p>
        </w:tc>
        <w:tc>
          <w:tcPr>
            <w:tcW w:w="75" w:type="dxa"/>
            <w:tcBorders>
              <w:top w:val="single" w:color="00000A" w:sz="6" w:space="0"/>
              <w:left w:val="nil"/>
              <w:bottom w:val="single" w:color="00000A" w:sz="6" w:space="0"/>
              <w:right w:val="single" w:color="00000A" w:sz="6" w:space="0"/>
            </w:tcBorders>
            <w:shd w:val="clear" w:color="auto" w:fill="FFFFFF"/>
            <w:tcMar>
              <w:top w:w="0" w:type="dxa"/>
              <w:left w:w="0" w:type="dxa"/>
              <w:bottom w:w="0" w:type="dxa"/>
              <w:right w:w="115" w:type="dxa"/>
            </w:tcMar>
            <w:vAlign w:val="center"/>
          </w:tcPr>
          <w:p w14:paraId="3DD4491C">
            <w:pPr>
              <w:widowControl/>
              <w:wordWrap w:val="0"/>
              <w:spacing w:line="360" w:lineRule="auto"/>
              <w:rPr>
                <w:rFonts w:ascii="宋体" w:hAnsi="宋体" w:eastAsia="宋体" w:cs="宋体"/>
                <w:color w:val="333333"/>
                <w:spacing w:val="8"/>
                <w:kern w:val="0"/>
                <w:szCs w:val="24"/>
              </w:rPr>
            </w:pPr>
          </w:p>
        </w:tc>
      </w:tr>
    </w:tbl>
    <w:p w14:paraId="63EDC57B">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（3）思考英雄榜（二）中人物的成就对国家的影响，据此说出他们被称为英雄的两条共同理由。（6分）</w:t>
      </w:r>
    </w:p>
    <w:p w14:paraId="2DBAC0DB">
      <w:pPr>
        <w:widowControl/>
        <w:shd w:val="clear" w:color="auto" w:fill="FFFFFF"/>
        <w:spacing w:line="360" w:lineRule="auto"/>
        <w:rPr>
          <w:rFonts w:ascii="宋体" w:hAnsi="宋体" w:eastAsia="宋体" w:cs="宋体"/>
          <w:color w:val="333333"/>
          <w:spacing w:val="8"/>
          <w:kern w:val="0"/>
          <w:szCs w:val="24"/>
        </w:rPr>
      </w:pPr>
    </w:p>
    <w:p w14:paraId="19571FB2">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（4）英雄榜（二）中的人物给了我们哪些精神滋养？（4分）</w:t>
      </w:r>
    </w:p>
    <w:p w14:paraId="66850D11">
      <w:pPr>
        <w:widowControl/>
        <w:shd w:val="clear" w:color="auto" w:fill="FFFFFF"/>
        <w:spacing w:line="360" w:lineRule="auto"/>
        <w:rPr>
          <w:rFonts w:ascii="宋体" w:hAnsi="宋体" w:eastAsia="宋体" w:cs="宋体"/>
          <w:color w:val="333333"/>
          <w:spacing w:val="8"/>
          <w:kern w:val="0"/>
          <w:szCs w:val="24"/>
        </w:rPr>
      </w:pPr>
    </w:p>
    <w:p w14:paraId="39C8638F">
      <w:pPr>
        <w:widowControl/>
        <w:shd w:val="clear" w:color="auto" w:fill="FFFFFF"/>
        <w:spacing w:line="360" w:lineRule="auto"/>
        <w:rPr>
          <w:rFonts w:ascii="宋体" w:hAnsi="宋体" w:eastAsia="宋体" w:cs="宋体"/>
          <w:color w:val="333333"/>
          <w:spacing w:val="8"/>
          <w:kern w:val="0"/>
          <w:szCs w:val="24"/>
        </w:rPr>
      </w:pPr>
      <w:r>
        <w:rPr>
          <w:rFonts w:hint="eastAsia" w:ascii="宋体" w:hAnsi="宋体" w:eastAsia="宋体" w:cs="宋体"/>
          <w:color w:val="333333"/>
          <w:spacing w:val="8"/>
          <w:kern w:val="0"/>
          <w:szCs w:val="24"/>
        </w:rPr>
        <w:t>（5）领会下面材料，着眼于民族振兴，阐明敬英雄的必要性。（5分）</w:t>
      </w:r>
    </w:p>
    <w:p w14:paraId="329F2B67">
      <w:pPr>
        <w:widowControl/>
        <w:spacing w:line="360" w:lineRule="auto"/>
        <w:jc w:val="center"/>
        <w:rPr>
          <w:rFonts w:ascii="宋体" w:hAnsi="宋体" w:eastAsia="宋体" w:cs="宋体"/>
          <w:kern w:val="0"/>
          <w:szCs w:val="24"/>
        </w:rPr>
      </w:pPr>
      <w:r>
        <w:rPr>
          <w:rFonts w:ascii="宋体" w:hAnsi="宋体" w:eastAsia="宋体" w:cs="宋体"/>
          <w:kern w:val="0"/>
          <w:szCs w:val="24"/>
        </w:rPr>
        <w:t>敬   英   雄</w:t>
      </w:r>
    </w:p>
    <w:p w14:paraId="1A56017A">
      <w:pPr>
        <w:widowControl/>
        <w:spacing w:line="360" w:lineRule="auto"/>
        <w:jc w:val="left"/>
        <w:rPr>
          <w:rFonts w:ascii="宋体" w:hAnsi="宋体" w:eastAsia="宋体" w:cs="宋体"/>
          <w:kern w:val="0"/>
          <w:szCs w:val="24"/>
        </w:rPr>
      </w:pPr>
      <w:r>
        <w:rPr>
          <w:rFonts w:ascii="宋体" w:hAnsi="宋体" w:eastAsia="宋体" w:cs="宋体"/>
          <w:kern w:val="0"/>
          <w:szCs w:val="24"/>
        </w:rPr>
        <w:t>◇走过5个年头的烈士纪念日制度，以最高规格向先烈寄托哀思。</w:t>
      </w:r>
    </w:p>
    <w:p w14:paraId="735D13EB">
      <w:pPr>
        <w:widowControl/>
        <w:spacing w:line="360" w:lineRule="auto"/>
        <w:jc w:val="left"/>
        <w:rPr>
          <w:rFonts w:ascii="宋体" w:hAnsi="宋体" w:eastAsia="宋体" w:cs="宋体"/>
          <w:kern w:val="0"/>
          <w:szCs w:val="24"/>
        </w:rPr>
      </w:pPr>
      <w:r>
        <w:rPr>
          <w:rFonts w:ascii="宋体" w:hAnsi="宋体" w:eastAsia="宋体" w:cs="宋体"/>
          <w:kern w:val="0"/>
          <w:szCs w:val="24"/>
        </w:rPr>
        <w:t>◇去年全票通过的英雄烈士保护法，用制度刚性捍卫英雄严。</w:t>
      </w:r>
    </w:p>
    <w:p w14:paraId="1942C614">
      <w:pPr>
        <w:widowControl/>
        <w:spacing w:line="360" w:lineRule="auto"/>
        <w:jc w:val="left"/>
        <w:rPr>
          <w:rFonts w:ascii="宋体" w:hAnsi="宋体" w:eastAsia="宋体" w:cs="宋体"/>
          <w:kern w:val="0"/>
          <w:szCs w:val="24"/>
        </w:rPr>
      </w:pPr>
      <w:r>
        <w:rPr>
          <w:rFonts w:ascii="宋体" w:hAnsi="宋体" w:eastAsia="宋体" w:cs="宋体"/>
          <w:kern w:val="0"/>
          <w:szCs w:val="24"/>
        </w:rPr>
        <w:t>◇一场场“时代楷模”发布活动，唱响新时代的英雄赞歌。</w:t>
      </w:r>
    </w:p>
    <w:p w14:paraId="59D98123">
      <w:pPr>
        <w:widowControl/>
        <w:spacing w:line="360" w:lineRule="auto"/>
        <w:jc w:val="left"/>
        <w:rPr>
          <w:rFonts w:ascii="宋体" w:hAnsi="宋体" w:eastAsia="宋体" w:cs="宋体"/>
          <w:kern w:val="0"/>
          <w:szCs w:val="24"/>
        </w:rPr>
      </w:pPr>
      <w:r>
        <w:rPr>
          <w:rFonts w:ascii="宋体" w:hAnsi="宋体" w:eastAsia="宋体" w:cs="宋体"/>
          <w:kern w:val="0"/>
          <w:szCs w:val="24"/>
        </w:rPr>
        <w:t>……</w:t>
      </w:r>
    </w:p>
    <w:p w14:paraId="486C8F83">
      <w:pPr>
        <w:rPr>
          <w:rFonts w:hint="eastAsia" w:ascii="宋体" w:hAnsi="宋体" w:eastAsia="宋体"/>
        </w:rPr>
      </w:pPr>
    </w:p>
    <w:p w14:paraId="64BDCE99">
      <w:pPr>
        <w:rPr>
          <w:rFonts w:hint="eastAsia" w:ascii="宋体" w:hAnsi="宋体" w:eastAsia="宋体"/>
        </w:rPr>
      </w:pPr>
    </w:p>
    <w:p w14:paraId="588F6997">
      <w:pPr>
        <w:rPr>
          <w:rFonts w:hint="eastAsia" w:ascii="宋体" w:hAnsi="宋体" w:eastAsia="宋体"/>
        </w:rPr>
      </w:pPr>
    </w:p>
    <w:p w14:paraId="26259EF6">
      <w:pPr>
        <w:rPr>
          <w:rFonts w:hint="eastAsia" w:ascii="宋体" w:hAnsi="宋体" w:eastAsia="宋体"/>
        </w:rPr>
      </w:pPr>
    </w:p>
    <w:p w14:paraId="3AFF29E6">
      <w:pPr>
        <w:rPr>
          <w:rFonts w:hint="eastAsia" w:ascii="宋体" w:hAnsi="宋体" w:eastAsia="宋体"/>
        </w:rPr>
      </w:pPr>
    </w:p>
    <w:p w14:paraId="5C42FE82">
      <w:pPr>
        <w:rPr>
          <w:rFonts w:hint="eastAsia" w:ascii="宋体" w:hAnsi="宋体" w:eastAsia="宋体"/>
        </w:rPr>
      </w:pPr>
    </w:p>
    <w:p w14:paraId="0F254E4D">
      <w:pPr>
        <w:rPr>
          <w:rFonts w:hint="eastAsia" w:ascii="宋体" w:hAnsi="宋体" w:eastAsia="宋体"/>
        </w:rPr>
      </w:pPr>
    </w:p>
    <w:p w14:paraId="6709C4A3">
      <w:pPr>
        <w:rPr>
          <w:rFonts w:hint="eastAsia" w:ascii="宋体" w:hAnsi="宋体" w:eastAsia="宋体"/>
        </w:rPr>
      </w:pPr>
    </w:p>
    <w:p w14:paraId="670E321C">
      <w:pPr>
        <w:rPr>
          <w:rFonts w:hint="eastAsia" w:ascii="宋体" w:hAnsi="宋体" w:eastAsia="宋体"/>
        </w:rPr>
      </w:pPr>
    </w:p>
    <w:p w14:paraId="17E48407">
      <w:pPr>
        <w:rPr>
          <w:rFonts w:hint="eastAsia" w:ascii="宋体" w:hAnsi="宋体" w:eastAsia="宋体"/>
        </w:rPr>
      </w:pPr>
    </w:p>
    <w:p w14:paraId="58EEB7CC">
      <w:pPr>
        <w:widowControl/>
        <w:shd w:val="clear" w:color="auto" w:fill="FFFFFF"/>
        <w:spacing w:after="375" w:line="420" w:lineRule="atLeast"/>
        <w:jc w:val="center"/>
        <w:rPr>
          <w:rFonts w:ascii="宋体" w:hAnsi="宋体" w:eastAsia="宋体" w:cs="宋体"/>
          <w:bCs/>
          <w:kern w:val="0"/>
          <w:szCs w:val="24"/>
        </w:rPr>
      </w:pPr>
      <w:r>
        <w:rPr>
          <w:rFonts w:ascii="宋体" w:hAnsi="宋体" w:eastAsia="宋体" w:cs="宋体"/>
          <w:bCs/>
          <w:kern w:val="0"/>
          <w:szCs w:val="24"/>
        </w:rPr>
        <w:drawing>
          <wp:anchor distT="0" distB="0" distL="114300" distR="114300" simplePos="0" relativeHeight="251662336" behindDoc="0" locked="0" layoutInCell="1" allowOverlap="1">
            <wp:simplePos x="0" y="0"/>
            <wp:positionH relativeFrom="page">
              <wp:posOffset>12420600</wp:posOffset>
            </wp:positionH>
            <wp:positionV relativeFrom="topMargin">
              <wp:posOffset>10883900</wp:posOffset>
            </wp:positionV>
            <wp:extent cx="469900" cy="317500"/>
            <wp:effectExtent l="19050" t="0" r="635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srcRect/>
                    <a:stretch>
                      <a:fillRect/>
                    </a:stretch>
                  </pic:blipFill>
                  <pic:spPr>
                    <a:xfrm>
                      <a:off x="0" y="0"/>
                      <a:ext cx="469900" cy="317500"/>
                    </a:xfrm>
                    <a:prstGeom prst="rect">
                      <a:avLst/>
                    </a:prstGeom>
                    <a:noFill/>
                  </pic:spPr>
                </pic:pic>
              </a:graphicData>
            </a:graphic>
          </wp:anchor>
        </w:drawing>
      </w:r>
      <w:r>
        <w:rPr>
          <w:rFonts w:hint="eastAsia" w:ascii="宋体" w:hAnsi="宋体" w:eastAsia="宋体" w:cs="宋体"/>
          <w:bCs/>
          <w:kern w:val="0"/>
          <w:szCs w:val="24"/>
        </w:rPr>
        <w:t>2019年河北省初中毕业升学文化课考试文科综合答案解析</w:t>
      </w:r>
    </w:p>
    <w:p w14:paraId="339605F0">
      <w:pPr>
        <w:widowControl/>
        <w:shd w:val="clear" w:color="auto" w:fill="FFFFFF"/>
        <w:spacing w:after="375" w:line="420" w:lineRule="atLeast"/>
        <w:jc w:val="center"/>
        <w:rPr>
          <w:rFonts w:ascii="宋体" w:hAnsi="宋体" w:eastAsia="宋体" w:cs="宋体"/>
          <w:kern w:val="0"/>
          <w:szCs w:val="21"/>
        </w:rPr>
      </w:pPr>
      <w:r>
        <w:rPr>
          <w:rFonts w:hint="eastAsia" w:ascii="宋体" w:hAnsi="宋体" w:eastAsia="宋体" w:cs="宋体"/>
          <w:bCs/>
          <w:kern w:val="0"/>
          <w:szCs w:val="24"/>
        </w:rPr>
        <w:t>道德与法治部分</w:t>
      </w:r>
    </w:p>
    <w:p w14:paraId="57D7F7B6">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1.【答案】C</w:t>
      </w:r>
    </w:p>
    <w:p w14:paraId="63F301E7">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【解析】题干强调开放，②农民丰收节不体现开放，故排除；①、③、④都是不断扩大开放的体现，故本题选C。</w:t>
      </w:r>
    </w:p>
    <w:p w14:paraId="3C435FD6">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2【答案】C</w:t>
      </w:r>
    </w:p>
    <w:p w14:paraId="3AB3BA0E">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【解析】题干强调友善，与人为善，③刷好评属于不诚信的行为而非友善，①、②、④都分别体现了人与人之间的友善，故本题选C。</w:t>
      </w:r>
    </w:p>
    <w:p w14:paraId="5A064A77">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3【答案】B</w:t>
      </w:r>
    </w:p>
    <w:p w14:paraId="617028D2">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【解析】本题考试人民代表大会制度相关知识，并不涉及②民族区域自治制度和③公民人身自由，人民代表大会制度既是我国根本政治制度，又能体现国家权力属于人民，故本题选B。</w:t>
      </w:r>
    </w:p>
    <w:p w14:paraId="29B1AD08">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4【答案】D</w:t>
      </w:r>
    </w:p>
    <w:p w14:paraId="161CDE32">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【解析】题干强调法治的重要性和作用，不体现崇尚自由，故不选①，③本身表述错误，权利与义务是相统一的，不强调谁重于谁故不选。①、④正是题干所强调，崇尚法治和法律面前人人平等。</w:t>
      </w:r>
    </w:p>
    <w:p w14:paraId="053E20BE">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5【答案】A</w:t>
      </w:r>
    </w:p>
    <w:p w14:paraId="38E6D7A3">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主旨在说我国铁路取得巨大成就，体现了①改革开放是强国之路，而且铁路的成就能增强实现社会主义现代化的信心，即③。②中“我国的世界强国地位”表述错误，我国并没有实现全面小康，故④错误，所以本题选A。</w:t>
      </w:r>
    </w:p>
    <w:p w14:paraId="562FA2C8">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6【答案】C</w:t>
      </w:r>
    </w:p>
    <w:p w14:paraId="32C884A4">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【解析】本题强调科技创新日新月异并且应用广泛，①、②、③符合题意，④“实现了”区域协调发展表述错误排除，故本题选C。</w:t>
      </w:r>
    </w:p>
    <w:p w14:paraId="3DE013BE">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7【答案】B</w:t>
      </w:r>
    </w:p>
    <w:p w14:paraId="06072B20">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【解析】题干无论是防止泥浆渗漏污染水体还是给古树让路，都体现保护环境这一目的，故本题选B。</w:t>
      </w:r>
    </w:p>
    <w:p w14:paraId="1C16582C">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8【答案】A</w:t>
      </w:r>
    </w:p>
    <w:p w14:paraId="70C7682F">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【解析】题干强调“筷子”中蕴含的中华文化由来已久及中国智慧，①源远流长和④充满智慧符合题意，②简单明了表述错误，③一成不变含贬义，也不合题意故不选，故本题选A。</w:t>
      </w:r>
    </w:p>
    <w:p w14:paraId="0EE8DDFB">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9【答案】D</w:t>
      </w:r>
    </w:p>
    <w:p w14:paraId="74A1999B">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【解析】题干既强调筷子传承者优良家风，又传承着尊老爱幼、邻里和善的传统美德，故②、④符合题意。本题并未体现筷子是就好进食工具和教育的作用故不选①，③，所以本题选D。</w:t>
      </w:r>
    </w:p>
    <w:p w14:paraId="70A2A30E">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10【答案】D</w:t>
      </w:r>
    </w:p>
    <w:p w14:paraId="0BFDDB30">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【解析】本题强调世界其他国家也开始学习使用筷子，了解筷子文化，①、③、④符合题干主旨，②文化间的差异在消失表述错误，排除，故本题选D。</w:t>
      </w:r>
    </w:p>
    <w:p w14:paraId="39AC16BF">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22【答案】B</w:t>
      </w:r>
    </w:p>
    <w:p w14:paraId="6F431E88">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【解析】本题考查苗族民族知识，①酥油茶是藏族食品，④泼水节是傣族传统节日，故本题排除①、④，选B。</w:t>
      </w:r>
    </w:p>
    <w:p w14:paraId="34687075">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23【答案】C</w:t>
      </w:r>
    </w:p>
    <w:p w14:paraId="412BC9F4">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【解析】题干说艾华领略了多个民族文化风采，体现①少数民族文化绚丽多彩，也可推断出②、④的正确认识，少数民族文化应该是相互影响而不是互不影响，故不选，所以本题选C。</w:t>
      </w:r>
    </w:p>
    <w:p w14:paraId="3CB9475D">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24.</w:t>
      </w:r>
    </w:p>
    <w:p w14:paraId="65109A5E">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（1）提高公德意识，规则意识，法律意识，义务意识，维护社会的公共秩序，做一个又教养的人。</w:t>
      </w:r>
    </w:p>
    <w:p w14:paraId="483D6255">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（2）①立法角度：完善了相关的法律法规，为处罚“霸座”男子提供了法律依据；</w:t>
      </w:r>
    </w:p>
    <w:p w14:paraId="4E0EB45C">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②执法角度：严格执法，加大对涉犬警情纠纷案的处罚力度；</w:t>
      </w:r>
    </w:p>
    <w:p w14:paraId="622780B0">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③司法角度：公正司法，法院的审判制裁了违法犯罪行为，维护了社会的公平正义；</w:t>
      </w:r>
    </w:p>
    <w:p w14:paraId="3A59F872">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(3)以法治国与以德治国相结合，共同发挥作用，既要发挥道德的教化作用，也要发挥法治的规范作用；</w:t>
      </w:r>
    </w:p>
    <w:p w14:paraId="51462FFE">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解析（1）题干中的关键所在是“公民和媒体”“文明素质”，自立角度从道德素质和法律素养两方面出发，然后结合材料中的具体不良行为现象组织答案。</w:t>
      </w:r>
    </w:p>
    <w:p w14:paraId="438C7487">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2）题干中的关键词是“法治回应”和“为什么能提高”，看到“法治”，就要想到依法治国及16字方针（科学立法，严格执法，公正司法，全民守法），然后结合材料中一一对应着组织答案，“法院宣判”——对应的答案是公正司法+结合材料+意义；“《治安管理处罚法》”——对应的答案是科学立法+结合材料+意义；“处罚了260多人次”——对应的答案是严格执法+结合材料+意义；</w:t>
      </w:r>
    </w:p>
    <w:p w14:paraId="766A0F81">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（3）从题干中“归纳”可看出，此题是一道综合性很强的题目，需要结合（1）和（2）的思路综合回答此题。所以途径是既要有德治又要有法治。</w:t>
      </w:r>
    </w:p>
    <w:p w14:paraId="39819BC6">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25.</w:t>
      </w:r>
    </w:p>
    <w:p w14:paraId="78C095E1">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（1）①人民代表大会具有立法权</w:t>
      </w:r>
    </w:p>
    <w:p w14:paraId="4F364A2F">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②我国是人民当家做主的社会主义国家</w:t>
      </w:r>
    </w:p>
    <w:p w14:paraId="39B8D01A">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③人民代表大会是我国的权利机关，政府是由人民大会产生的，要对它负责，受它监督。</w:t>
      </w:r>
    </w:p>
    <w:p w14:paraId="34DA1456">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（2）①根据宪法制定的，不得与宪法的原则和精神相违背，否则会因违宪而无效。</w:t>
      </w:r>
    </w:p>
    <w:p w14:paraId="25EED756">
      <w:pPr>
        <w:widowControl/>
        <w:shd w:val="clear" w:color="auto" w:fill="FFFFFF"/>
        <w:spacing w:after="375" w:line="420" w:lineRule="atLeast"/>
        <w:ind w:firstLine="480"/>
        <w:jc w:val="left"/>
        <w:rPr>
          <w:rFonts w:ascii="宋体" w:hAnsi="宋体" w:eastAsia="宋体" w:cs="宋体"/>
          <w:kern w:val="0"/>
          <w:szCs w:val="21"/>
        </w:rPr>
      </w:pPr>
      <w:r>
        <w:rPr>
          <w:rFonts w:hint="eastAsia" w:ascii="宋体" w:hAnsi="宋体" w:eastAsia="宋体" w:cs="宋体"/>
          <w:kern w:val="0"/>
          <w:szCs w:val="24"/>
        </w:rPr>
        <w:t> ②宪法是其他法律的立法依据和立法基础。</w:t>
      </w:r>
    </w:p>
    <w:p w14:paraId="500B52DA">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（3）①交管部门：依法办事（依法行使职权），规范公民的行为，制裁违法行为，维护社会的公共秩序；</w:t>
      </w:r>
    </w:p>
    <w:p w14:paraId="427836CC">
      <w:pPr>
        <w:widowControl/>
        <w:shd w:val="clear" w:color="auto" w:fill="FFFFFF"/>
        <w:spacing w:after="375" w:line="420" w:lineRule="atLeast"/>
        <w:ind w:firstLine="600"/>
        <w:jc w:val="left"/>
        <w:rPr>
          <w:rFonts w:ascii="宋体" w:hAnsi="宋体" w:eastAsia="宋体" w:cs="宋体"/>
          <w:kern w:val="0"/>
          <w:szCs w:val="21"/>
        </w:rPr>
      </w:pPr>
      <w:r>
        <w:rPr>
          <w:rFonts w:hint="eastAsia" w:ascii="宋体" w:hAnsi="宋体" w:eastAsia="宋体" w:cs="宋体"/>
          <w:kern w:val="0"/>
          <w:szCs w:val="24"/>
        </w:rPr>
        <w:t>②公民：增强法律意识，自觉尊法守法；</w:t>
      </w:r>
    </w:p>
    <w:p w14:paraId="4B424BD0">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（4）国家机关及其工作人员必须依据法律依法办事；</w:t>
      </w:r>
    </w:p>
    <w:p w14:paraId="1ED0CE2C">
      <w:pPr>
        <w:widowControl/>
        <w:shd w:val="clear" w:color="auto" w:fill="FFFFFF"/>
        <w:spacing w:after="375" w:line="420" w:lineRule="atLeast"/>
        <w:ind w:firstLine="570"/>
        <w:jc w:val="left"/>
        <w:rPr>
          <w:rFonts w:ascii="宋体" w:hAnsi="宋体" w:eastAsia="宋体" w:cs="宋体"/>
          <w:kern w:val="0"/>
          <w:szCs w:val="21"/>
        </w:rPr>
      </w:pPr>
      <w:r>
        <w:rPr>
          <w:rFonts w:hint="eastAsia" w:ascii="宋体" w:hAnsi="宋体" w:eastAsia="宋体" w:cs="宋体"/>
          <w:kern w:val="0"/>
          <w:szCs w:val="24"/>
        </w:rPr>
        <w:t> 法律的实施需要国家机关的落实与执行；</w:t>
      </w:r>
    </w:p>
    <w:p w14:paraId="009ECC7E">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解析：（1）题干中“人大”审议通过了《条例》体现了人大具有立法权。其次是转换题干，也就是说人大为什么能立法，回答人大的重要性即可；</w:t>
      </w:r>
    </w:p>
    <w:p w14:paraId="187ECB01">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（2）从“宪法的法律效力”看，有限定的角度，由题（1）可知立法了是普通法律，并且是依据宪法制定的，立法能通过的基本要求是不能与宪法相违背，组织答案即可；</w:t>
      </w:r>
    </w:p>
    <w:p w14:paraId="71568923">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(3)转换题目——从发挥法律的作用来看，市民和交管部门应该怎么做？法律作用的知识+分别与交管部分和市民过两个角度作答；</w:t>
      </w:r>
    </w:p>
    <w:p w14:paraId="0DE7B38C">
      <w:pPr>
        <w:widowControl/>
        <w:shd w:val="clear" w:color="auto" w:fill="FFFFFF"/>
        <w:spacing w:after="375" w:line="420" w:lineRule="atLeast"/>
        <w:jc w:val="left"/>
        <w:rPr>
          <w:rFonts w:ascii="宋体" w:hAnsi="宋体" w:eastAsia="宋体" w:cs="宋体"/>
          <w:kern w:val="0"/>
          <w:szCs w:val="24"/>
        </w:rPr>
      </w:pPr>
      <w:r>
        <w:rPr>
          <w:rFonts w:hint="eastAsia" w:ascii="宋体" w:hAnsi="宋体" w:eastAsia="宋体" w:cs="宋体"/>
          <w:kern w:val="0"/>
          <w:szCs w:val="24"/>
        </w:rPr>
        <w:t>（4）转换题干法律的规定和实施与政府权利的获得和行使有怎样的关系，用相关观点回答即可；</w:t>
      </w:r>
    </w:p>
    <w:p w14:paraId="4D926FD4">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28.</w:t>
      </w:r>
    </w:p>
    <w:p w14:paraId="0F6B6D85">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（3）①提高了科技水平创新能力，有利于建设创新型国家；</w:t>
      </w:r>
    </w:p>
    <w:p w14:paraId="6D5DDF3D">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②促进我过人类社会发展进步，增强了我国的综合国力；</w:t>
      </w:r>
    </w:p>
    <w:p w14:paraId="7104D150">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③英雄人物艰苦奋斗，无私奉献的爱国精神；</w:t>
      </w:r>
    </w:p>
    <w:p w14:paraId="29783087">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(4)创新精神，爱国精神，无私奉献的精神，艰苦奋斗的精神。</w:t>
      </w:r>
    </w:p>
    <w:p w14:paraId="45D47913">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（5）是实现中华民族伟大复兴的需要；</w:t>
      </w:r>
    </w:p>
    <w:p w14:paraId="2B8D351D">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是保护英雄烈士人格尊严权不被侵犯的需要；</w:t>
      </w:r>
    </w:p>
    <w:p w14:paraId="5E49B85F">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有利于宣传英雄的精神，树立榜样的作用；</w:t>
      </w:r>
    </w:p>
    <w:p w14:paraId="201611D1">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有利于加强思想道德建设，形成尊重英雄的社会风气；</w:t>
      </w:r>
    </w:p>
    <w:p w14:paraId="1D05445F">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解析：（3）对国家的影响和共同理由是关键所在，从科技，社会，国家，经济，精神品质等多个角度回答即可。</w:t>
      </w:r>
    </w:p>
    <w:p w14:paraId="2D0F3385">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（4）精神品质的总结，符合材料中英雄人物即可，较为简单；</w:t>
      </w:r>
    </w:p>
    <w:p w14:paraId="75E9FFC7">
      <w:pPr>
        <w:widowControl/>
        <w:shd w:val="clear" w:color="auto" w:fill="FFFFFF"/>
        <w:spacing w:after="375" w:line="420" w:lineRule="atLeast"/>
        <w:jc w:val="left"/>
        <w:rPr>
          <w:rFonts w:ascii="宋体" w:hAnsi="宋体" w:eastAsia="宋体" w:cs="宋体"/>
          <w:kern w:val="0"/>
          <w:szCs w:val="21"/>
        </w:rPr>
      </w:pPr>
      <w:r>
        <w:rPr>
          <w:rFonts w:hint="eastAsia" w:ascii="宋体" w:hAnsi="宋体" w:eastAsia="宋体" w:cs="宋体"/>
          <w:kern w:val="0"/>
          <w:szCs w:val="24"/>
        </w:rPr>
        <w:t>     （5）必要性——“不得不”的意思。是什么的需要+意义影响。即可</w:t>
      </w:r>
    </w:p>
    <w:p w14:paraId="0F454BA0">
      <w:pPr>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74811">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3B5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2B09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720A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5783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5C58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CC7523"/>
    <w:rsid w:val="00323DC6"/>
    <w:rsid w:val="00427BA4"/>
    <w:rsid w:val="004D6E10"/>
    <w:rsid w:val="0063506A"/>
    <w:rsid w:val="0070772E"/>
    <w:rsid w:val="007A659D"/>
    <w:rsid w:val="00941F34"/>
    <w:rsid w:val="00B16F94"/>
    <w:rsid w:val="00BC31AE"/>
    <w:rsid w:val="00CC7523"/>
    <w:rsid w:val="00ED67CC"/>
    <w:rsid w:val="00F40BA5"/>
    <w:rsid w:val="00FC073E"/>
    <w:rsid w:val="309F6E25"/>
    <w:rsid w:val="6DCF3C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page number"/>
    <w:basedOn w:val="7"/>
    <w:semiHidden/>
    <w:unhideWhenUsed/>
    <w:uiPriority w:val="99"/>
  </w:style>
  <w:style w:type="character" w:customStyle="1" w:styleId="10">
    <w:name w:val="批注框文本 Char"/>
    <w:basedOn w:val="7"/>
    <w:link w:val="2"/>
    <w:semiHidden/>
    <w:uiPriority w:val="99"/>
    <w:rPr>
      <w:sz w:val="18"/>
      <w:szCs w:val="18"/>
    </w:rPr>
  </w:style>
  <w:style w:type="character" w:customStyle="1" w:styleId="11">
    <w:name w:val="页眉 Char"/>
    <w:basedOn w:val="7"/>
    <w:link w:val="4"/>
    <w:uiPriority w:val="99"/>
    <w:rPr>
      <w:sz w:val="18"/>
      <w:szCs w:val="18"/>
    </w:rPr>
  </w:style>
  <w:style w:type="character" w:customStyle="1" w:styleId="12">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5336</Words>
  <Characters>5490</Characters>
  <Lines>42</Lines>
  <Paragraphs>11</Paragraphs>
  <TotalTime>0</TotalTime>
  <ScaleCrop>false</ScaleCrop>
  <LinksUpToDate>false</LinksUpToDate>
  <CharactersWithSpaces>5787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2019-07-08T02:25:00Z</dcterms:created>
  <dcterms:modified xsi:type="dcterms:W3CDTF">2024-07-20T16:11:34Z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20CAD8541DE640FA8399FA82B13E7716_12</vt:lpwstr>
  </property>
</Properties>
</file>