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645ECB">
      <w:pPr>
        <w:jc w:val="center"/>
        <w:rPr>
          <w:rFonts w:hint="eastAsia" w:ascii="宋体" w:hAnsi="宋体" w:eastAsia="宋体" w:cs="宋体"/>
          <w:b/>
          <w:bCs/>
          <w:caps w:val="0"/>
          <w:sz w:val="32"/>
          <w:szCs w:val="32"/>
        </w:rPr>
      </w:pPr>
      <w:bookmarkStart w:id="0" w:name="_GoBack"/>
      <w:bookmarkEnd w:id="0"/>
      <w:r>
        <w:rPr>
          <w:rFonts w:ascii="Calibri" w:hAnsi="Calibri" w:eastAsia="宋体" w:cs="Calibri"/>
          <w:b/>
          <w:bCs/>
          <w:caps w:val="0"/>
          <w:sz w:val="32"/>
          <w:szCs w:val="32"/>
        </w:rPr>
        <w:t>2023福建省普通高中学业水平选择性考试</w:t>
      </w:r>
      <w:r>
        <w:rPr>
          <w:rFonts w:hint="eastAsia" w:ascii="宋体" w:hAnsi="宋体" w:eastAsia="宋体" w:cs="宋体"/>
          <w:b/>
          <w:bCs/>
          <w:caps w:val="0"/>
          <w:sz w:val="32"/>
          <w:szCs w:val="32"/>
        </w:rPr>
        <w:t>地理试题</w:t>
      </w:r>
    </w:p>
    <w:p w14:paraId="734304D1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/>
          <w:bCs/>
          <w:caps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aps w:val="0"/>
          <w:kern w:val="2"/>
          <w:sz w:val="24"/>
          <w:szCs w:val="24"/>
          <w:lang w:val="en-US" w:eastAsia="zh-CN" w:bidi="ar-SA"/>
        </w:rPr>
        <w:t>一、</w:t>
      </w:r>
      <w:r>
        <w:rPr>
          <w:rFonts w:hint="eastAsia" w:ascii="宋体" w:hAnsi="宋体" w:eastAsia="宋体" w:cs="宋体"/>
          <w:b/>
          <w:bCs/>
          <w:caps w:val="0"/>
          <w:sz w:val="24"/>
          <w:szCs w:val="24"/>
        </w:rPr>
        <w:t>单项选择题：本大题共16小题，每小题3分，共48分。在每小题列出的四个选项中，只有一项是符合题目要求的。</w:t>
      </w:r>
    </w:p>
    <w:p w14:paraId="55F8AEFC">
      <w:pPr>
        <w:numPr>
          <w:ilvl w:val="0"/>
          <w:numId w:val="0"/>
        </w:numPr>
        <w:spacing w:line="360" w:lineRule="auto"/>
        <w:ind w:firstLine="480" w:firstLineChars="200"/>
        <w:rPr>
          <w:rFonts w:ascii="楷体" w:hAnsi="楷体" w:eastAsia="楷体" w:cs="楷体"/>
          <w:caps w:val="0"/>
          <w:sz w:val="24"/>
          <w:szCs w:val="24"/>
        </w:rPr>
      </w:pPr>
      <w:r>
        <w:rPr>
          <w:rFonts w:ascii="楷体" w:hAnsi="楷体" w:eastAsia="楷体" w:cs="楷体"/>
          <w:caps w:val="0"/>
          <w:sz w:val="24"/>
          <w:szCs w:val="24"/>
        </w:rPr>
        <w:t>江苏省在改革开放以来在山上废弃矿坑养殖青虾，近年来，通过发展电商扩展销售，2018年以来陆续关闭一些污染严重的青虾养殖场，并由下游愿意付费的企业买单。根据材料回答1～3题。</w:t>
      </w:r>
    </w:p>
    <w:p w14:paraId="5089D119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kern w:val="2"/>
          <w:sz w:val="25"/>
          <w:szCs w:val="25"/>
          <w:lang w:val="en-US" w:eastAsia="zh-CN" w:bidi="ar-SA"/>
        </w:rPr>
        <w:t>1.</w:t>
      </w:r>
      <w:r>
        <w:rPr>
          <w:rFonts w:ascii="宋体" w:hAnsi="宋体" w:eastAsia="宋体" w:cs="宋体"/>
          <w:spacing w:val="9"/>
          <w:sz w:val="25"/>
          <w:szCs w:val="25"/>
        </w:rPr>
        <w:t>江苏选择山上矿坑养殖而非平原养殖的目的是</w:t>
      </w:r>
      <w:r>
        <w:rPr>
          <w:rFonts w:hint="eastAsia" w:ascii="宋体" w:hAnsi="宋体" w:eastAsia="宋体" w:cs="宋体"/>
          <w:spacing w:val="9"/>
          <w:sz w:val="25"/>
          <w:szCs w:val="25"/>
          <w:lang w:eastAsia="zh-CN"/>
        </w:rPr>
        <w:t>（</w:t>
      </w:r>
      <w:r>
        <w:rPr>
          <w:rFonts w:hint="eastAsia" w:ascii="宋体" w:hAnsi="宋体" w:eastAsia="宋体" w:cs="宋体"/>
          <w:spacing w:val="9"/>
          <w:sz w:val="25"/>
          <w:szCs w:val="25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pacing w:val="9"/>
          <w:sz w:val="25"/>
          <w:szCs w:val="25"/>
          <w:lang w:eastAsia="zh-CN"/>
        </w:rPr>
        <w:t>）</w:t>
      </w:r>
      <w:r>
        <w:rPr>
          <w:rFonts w:ascii="宋体" w:hAnsi="宋体" w:eastAsia="宋体" w:cs="宋体"/>
          <w:spacing w:val="9"/>
          <w:sz w:val="25"/>
          <w:szCs w:val="25"/>
        </w:rPr>
        <w:t xml:space="preserve">    </w:t>
      </w:r>
    </w:p>
    <w:p w14:paraId="021D4990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sz w:val="25"/>
          <w:szCs w:val="25"/>
        </w:rPr>
        <w:t xml:space="preserve">A.降低生产成本    B.增加汇水面积    </w:t>
      </w:r>
    </w:p>
    <w:p w14:paraId="2D858AC7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sz w:val="25"/>
          <w:szCs w:val="25"/>
        </w:rPr>
        <w:t>C.避免占用耕地 </w:t>
      </w:r>
      <w:r>
        <w:rPr>
          <w:rFonts w:hint="eastAsia" w:ascii="宋体" w:hAnsi="宋体" w:eastAsia="宋体" w:cs="宋体"/>
          <w:spacing w:val="9"/>
          <w:sz w:val="25"/>
          <w:szCs w:val="25"/>
          <w:lang w:val="en-US" w:eastAsia="zh-CN"/>
        </w:rPr>
        <w:t xml:space="preserve">  </w:t>
      </w:r>
      <w:r>
        <w:rPr>
          <w:rFonts w:ascii="宋体" w:hAnsi="宋体" w:eastAsia="宋体" w:cs="宋体"/>
          <w:spacing w:val="9"/>
          <w:sz w:val="25"/>
          <w:szCs w:val="25"/>
        </w:rPr>
        <w:t xml:space="preserve">  D.减少水土流失</w:t>
      </w:r>
    </w:p>
    <w:p w14:paraId="1AFD044E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sz w:val="25"/>
          <w:szCs w:val="25"/>
        </w:rPr>
        <w:t>2.分析发展电商销售对于青虾养殖的促进作用</w:t>
      </w:r>
      <w:r>
        <w:rPr>
          <w:rFonts w:hint="eastAsia" w:ascii="宋体" w:hAnsi="宋体" w:eastAsia="宋体" w:cs="宋体"/>
          <w:spacing w:val="9"/>
          <w:sz w:val="25"/>
          <w:szCs w:val="25"/>
          <w:lang w:eastAsia="zh-CN"/>
        </w:rPr>
        <w:t>（</w:t>
      </w:r>
      <w:r>
        <w:rPr>
          <w:rFonts w:hint="eastAsia" w:ascii="宋体" w:hAnsi="宋体" w:eastAsia="宋体" w:cs="宋体"/>
          <w:spacing w:val="9"/>
          <w:sz w:val="25"/>
          <w:szCs w:val="25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pacing w:val="9"/>
          <w:sz w:val="25"/>
          <w:szCs w:val="25"/>
          <w:lang w:eastAsia="zh-CN"/>
        </w:rPr>
        <w:t>）</w:t>
      </w:r>
      <w:r>
        <w:rPr>
          <w:rFonts w:ascii="宋体" w:hAnsi="宋体" w:eastAsia="宋体" w:cs="宋体"/>
          <w:spacing w:val="9"/>
          <w:sz w:val="25"/>
          <w:szCs w:val="25"/>
        </w:rPr>
        <w:t xml:space="preserve">    </w:t>
      </w:r>
    </w:p>
    <w:p w14:paraId="7A4D63BB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sz w:val="25"/>
          <w:szCs w:val="25"/>
        </w:rPr>
        <w:t xml:space="preserve">A.扩大养殖规模    B.提高产量    </w:t>
      </w:r>
    </w:p>
    <w:p w14:paraId="47631F31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sz w:val="25"/>
          <w:szCs w:val="25"/>
        </w:rPr>
        <w:t>C.保证产品质量    D.扩展销售渠道</w:t>
      </w:r>
    </w:p>
    <w:p w14:paraId="26CFD5E7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sz w:val="25"/>
          <w:szCs w:val="25"/>
        </w:rPr>
        <w:t>3.关闭污染养虾场后，下游付费意愿最高的企业是</w:t>
      </w:r>
      <w:r>
        <w:rPr>
          <w:rFonts w:hint="eastAsia" w:ascii="宋体" w:hAnsi="宋体" w:eastAsia="宋体" w:cs="宋体"/>
          <w:spacing w:val="9"/>
          <w:sz w:val="25"/>
          <w:szCs w:val="25"/>
          <w:lang w:eastAsia="zh-CN"/>
        </w:rPr>
        <w:t>（</w:t>
      </w:r>
      <w:r>
        <w:rPr>
          <w:rFonts w:hint="eastAsia" w:ascii="宋体" w:hAnsi="宋体" w:eastAsia="宋体" w:cs="宋体"/>
          <w:spacing w:val="9"/>
          <w:sz w:val="25"/>
          <w:szCs w:val="25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pacing w:val="9"/>
          <w:sz w:val="25"/>
          <w:szCs w:val="25"/>
          <w:lang w:eastAsia="zh-CN"/>
        </w:rPr>
        <w:t>）</w:t>
      </w:r>
      <w:r>
        <w:rPr>
          <w:rFonts w:ascii="宋体" w:hAnsi="宋体" w:eastAsia="宋体" w:cs="宋体"/>
          <w:spacing w:val="9"/>
          <w:sz w:val="25"/>
          <w:szCs w:val="25"/>
        </w:rPr>
        <w:t xml:space="preserve">    </w:t>
      </w:r>
    </w:p>
    <w:p w14:paraId="53552E78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sz w:val="25"/>
          <w:szCs w:val="25"/>
        </w:rPr>
        <w:t xml:space="preserve">A.高端康养产业    B.传统种植业    </w:t>
      </w:r>
    </w:p>
    <w:p w14:paraId="7B70DF1D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9"/>
          <w:sz w:val="25"/>
          <w:szCs w:val="25"/>
        </w:rPr>
      </w:pPr>
      <w:r>
        <w:rPr>
          <w:rFonts w:ascii="宋体" w:hAnsi="宋体" w:eastAsia="宋体" w:cs="宋体"/>
          <w:spacing w:val="9"/>
          <w:sz w:val="25"/>
          <w:szCs w:val="25"/>
        </w:rPr>
        <w:t>C.仓储运输业     D.信息技术</w:t>
      </w:r>
    </w:p>
    <w:p w14:paraId="63C48FE1">
      <w:pPr>
        <w:numPr>
          <w:ilvl w:val="0"/>
          <w:numId w:val="0"/>
        </w:numPr>
        <w:spacing w:line="360" w:lineRule="auto"/>
        <w:ind w:firstLine="480" w:firstLineChars="200"/>
        <w:rPr>
          <w:rFonts w:ascii="宋体" w:hAnsi="宋体" w:eastAsia="宋体" w:cs="宋体"/>
          <w:sz w:val="24"/>
          <w:szCs w:val="24"/>
        </w:rPr>
      </w:pPr>
      <w:r>
        <w:rPr>
          <w:rFonts w:hint="eastAsia" w:ascii="楷体" w:hAnsi="楷体" w:eastAsia="楷体" w:cs="楷体"/>
          <w:caps w:val="0"/>
          <w:sz w:val="24"/>
          <w:szCs w:val="24"/>
        </w:rPr>
        <w:t>自然资源丰富的国家 (或地区) 若投入到自然资源开发及贸易的资金和劳动力过多，影响其他行业发展，可能导致经济发展缓慢，引发“资源诅咒”。当前俄罗斯油气技术装备的进口比例偏高。俄罗斯北极地区某自治区近年来大力开发油气资源和发展储运，其第三产业以劳动密集型为主。图 1示意该区从业人口构成变化。据此完成4</w:t>
      </w:r>
      <w:r>
        <w:rPr>
          <w:rFonts w:hint="eastAsia" w:ascii="楷体" w:hAnsi="楷体" w:eastAsia="楷体" w:cs="楷体"/>
          <w:caps w:val="0"/>
          <w:spacing w:val="9"/>
          <w:sz w:val="24"/>
          <w:szCs w:val="24"/>
        </w:rPr>
        <w:t>～</w:t>
      </w:r>
      <w:r>
        <w:rPr>
          <w:rFonts w:hint="eastAsia" w:ascii="楷体" w:hAnsi="楷体" w:eastAsia="楷体" w:cs="楷体"/>
          <w:caps w:val="0"/>
          <w:sz w:val="24"/>
          <w:szCs w:val="24"/>
        </w:rPr>
        <w:t>5题。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628900" cy="1870710"/>
            <wp:effectExtent l="0" t="0" r="0" b="15240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870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6B975B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4.</w:t>
      </w:r>
      <w:r>
        <w:rPr>
          <w:rFonts w:hint="default" w:ascii="Calibri" w:hAnsi="Calibri" w:eastAsia="宋体" w:cs="Calibri"/>
          <w:caps w:val="0"/>
          <w:sz w:val="24"/>
          <w:szCs w:val="24"/>
        </w:rPr>
        <w:t>有人认为该区存在“资源诅咒”风险，若该结论成立，则图中序号代表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074E24B3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A.①第一产业，②第三产业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B.①第三产业，②第二产业</w:t>
      </w:r>
    </w:p>
    <w:p w14:paraId="5CE25311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C.①第二产业，③第三产业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D.①第一产业，③第二产业</w:t>
      </w:r>
    </w:p>
    <w:p w14:paraId="314AB167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5.中俄已就共建“冰上丝绸之路”达成共识，该区希望通过合作优先解决油气行业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4B75CFDE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pacing w:val="7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A.技术支撑不足  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</w:t>
      </w:r>
      <w:r>
        <w:rPr>
          <w:rFonts w:hint="default" w:ascii="Calibri" w:hAnsi="Calibri" w:eastAsia="宋体" w:cs="Calibri"/>
          <w:spacing w:val="7"/>
          <w:sz w:val="24"/>
          <w:szCs w:val="24"/>
        </w:rPr>
        <w:t>B环境污染严重   </w:t>
      </w:r>
      <w:r>
        <w:rPr>
          <w:rFonts w:ascii="宋体" w:hAnsi="宋体" w:eastAsia="宋体" w:cs="宋体"/>
          <w:spacing w:val="7"/>
          <w:sz w:val="24"/>
          <w:szCs w:val="24"/>
        </w:rPr>
        <w:t>    </w:t>
      </w:r>
    </w:p>
    <w:p w14:paraId="10810052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C产量趋于下降     </w:t>
      </w:r>
      <w:r>
        <w:rPr>
          <w:rFonts w:hint="default" w:ascii="Calibri" w:hAnsi="Calibri" w:eastAsia="宋体" w:cs="Calibri"/>
          <w:spacing w:val="7"/>
          <w:sz w:val="24"/>
          <w:szCs w:val="24"/>
        </w:rPr>
        <w:t>D.从业人口短缺</w:t>
      </w:r>
      <w:r>
        <w:rPr>
          <w:rFonts w:hint="eastAsia" w:ascii="楷体" w:hAnsi="楷体" w:eastAsia="楷体" w:cs="楷体"/>
          <w:spacing w:val="7"/>
          <w:sz w:val="24"/>
          <w:szCs w:val="24"/>
        </w:rPr>
        <w:t>      </w:t>
      </w:r>
      <w:r>
        <w:rPr>
          <w:rFonts w:ascii="宋体" w:hAnsi="宋体" w:eastAsia="宋体" w:cs="宋体"/>
          <w:sz w:val="24"/>
          <w:szCs w:val="24"/>
        </w:rPr>
        <w:t> </w:t>
      </w:r>
    </w:p>
    <w:p w14:paraId="24696D18">
      <w:pPr>
        <w:numPr>
          <w:ilvl w:val="0"/>
          <w:numId w:val="0"/>
        </w:numPr>
        <w:spacing w:line="360" w:lineRule="auto"/>
        <w:ind w:firstLine="480" w:firstLineChars="200"/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</w:pPr>
      <w:r>
        <w:rPr>
          <w:rFonts w:hint="eastAsia" w:ascii="楷体" w:hAnsi="楷体" w:eastAsia="楷体" w:cs="楷体"/>
          <w:caps w:val="0"/>
          <w:sz w:val="24"/>
          <w:szCs w:val="24"/>
        </w:rPr>
        <w:t>唐朝时期，吴淞江未形成较稳定的河道。北宋时期，吴江长堤建成后，吴淞江河道日趋稳定，成为太湖的主要泄洪通道。近代以来，吴淞江成为上海港体系的一部分。图2示意唐代以来太湖东部水系的演变过程。据此完成6</w:t>
      </w:r>
      <w:r>
        <w:rPr>
          <w:rFonts w:hint="eastAsia" w:ascii="楷体" w:hAnsi="楷体" w:eastAsia="楷体" w:cs="楷体"/>
          <w:caps w:val="0"/>
          <w:spacing w:val="9"/>
          <w:sz w:val="24"/>
          <w:szCs w:val="24"/>
        </w:rPr>
        <w:t>～</w:t>
      </w:r>
      <w:r>
        <w:rPr>
          <w:rFonts w:hint="eastAsia" w:ascii="楷体" w:hAnsi="楷体" w:eastAsia="楷体" w:cs="楷体"/>
          <w:caps w:val="0"/>
          <w:sz w:val="24"/>
          <w:szCs w:val="24"/>
        </w:rPr>
        <w:t>8题。</w:t>
      </w:r>
      <w:r>
        <w:rPr>
          <w:rFonts w:hint="default" w:ascii="Calibri" w:hAnsi="Calibri" w:eastAsia="宋体" w:cs="Calibri"/>
          <w:caps w:val="0"/>
          <w:sz w:val="24"/>
          <w:szCs w:val="24"/>
        </w:rPr>
        <w:drawing>
          <wp:inline distT="0" distB="0" distL="114300" distR="114300">
            <wp:extent cx="3438525" cy="1876425"/>
            <wp:effectExtent l="0" t="0" r="9525" b="9525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t>    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hint="default" w:ascii="Calibri" w:hAnsi="Calibri" w:eastAsia="宋体" w:cs="Calibri"/>
          <w:caps w:val="0"/>
          <w:sz w:val="24"/>
          <w:szCs w:val="24"/>
        </w:rPr>
        <w:t>6.晚唐诗人许浑泛舟吴淞江，留下了“杨柳北归路，兼葭 (芦苇) 南渡舟”的诗句。诗中所述河段南北两侧植被差异的主要影响因素是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2EBFB4E9">
      <w:pPr>
        <w:numPr>
          <w:ilvl w:val="0"/>
          <w:numId w:val="1"/>
        </w:numPr>
        <w:tabs>
          <w:tab w:val="clear" w:pos="312"/>
        </w:tabs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 xml:space="preserve">坡向            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B.热量 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  </w:t>
      </w:r>
    </w:p>
    <w:p w14:paraId="2E683D16">
      <w:pPr>
        <w:numPr>
          <w:ilvl w:val="0"/>
          <w:numId w:val="1"/>
        </w:numPr>
        <w:tabs>
          <w:tab w:val="clear" w:pos="312"/>
        </w:tabs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 C.堆积状况 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D.盛行风向</w:t>
      </w:r>
    </w:p>
    <w:p w14:paraId="7BB04BEA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7.北宋时期吴江长堤建成导政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24A64A72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A.长堤以西河湖淤积加强    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B.吴淞江输沙量减少</w:t>
      </w:r>
    </w:p>
    <w:p w14:paraId="1A1E29A5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C.长堤以东湖水冲刷加强   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D.吴淞江径流量减少</w:t>
      </w:r>
    </w:p>
    <w:p w14:paraId="214F601D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8.近代以来吴淞江逐渐成为上海的“米粮要道”，主要原因是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5BA7314F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 xml:space="preserve">A.吴淞江航道条件改善  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B.上海工商业发展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</w:t>
      </w:r>
    </w:p>
    <w:p w14:paraId="4CC8D818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C.吴淞江防洪能力提高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 xml:space="preserve">  D.上海港泊位不足</w:t>
      </w:r>
      <w:r>
        <w:rPr>
          <w:rFonts w:hint="default" w:ascii="Calibri" w:hAnsi="Calibri" w:eastAsia="宋体" w:cs="Calibri"/>
          <w:spacing w:val="7"/>
          <w:sz w:val="24"/>
          <w:szCs w:val="24"/>
        </w:rPr>
        <w:t>         </w:t>
      </w:r>
      <w:r>
        <w:rPr>
          <w:rFonts w:ascii="宋体" w:hAnsi="宋体" w:eastAsia="宋体" w:cs="宋体"/>
          <w:sz w:val="24"/>
          <w:szCs w:val="24"/>
        </w:rPr>
        <w:t> </w:t>
      </w:r>
    </w:p>
    <w:p w14:paraId="1D133F1C">
      <w:pPr>
        <w:numPr>
          <w:ilvl w:val="0"/>
          <w:numId w:val="0"/>
        </w:numPr>
        <w:spacing w:line="360" w:lineRule="auto"/>
        <w:ind w:firstLine="480" w:firstLineChars="200"/>
        <w:rPr>
          <w:rFonts w:hint="eastAsia" w:ascii="宋体" w:hAnsi="宋体" w:eastAsia="宋体" w:cs="宋体"/>
          <w:caps w:val="0"/>
          <w:sz w:val="24"/>
          <w:szCs w:val="24"/>
        </w:rPr>
      </w:pPr>
      <w:r>
        <w:rPr>
          <w:rFonts w:hint="eastAsia" w:ascii="楷体" w:hAnsi="楷体" w:eastAsia="楷体" w:cs="楷体"/>
          <w:caps w:val="0"/>
          <w:sz w:val="24"/>
          <w:szCs w:val="24"/>
        </w:rPr>
        <w:t>局部强降雨后，太阳光线以一定的角度投射在雨幕上可能形成彩虹。图3示意彩虹最高视点与太阳高度角 (h) 的关系。据此完成9</w:t>
      </w:r>
      <w:r>
        <w:rPr>
          <w:rFonts w:hint="eastAsia" w:ascii="楷体" w:hAnsi="楷体" w:eastAsia="楷体" w:cs="楷体"/>
          <w:caps w:val="0"/>
          <w:spacing w:val="9"/>
          <w:sz w:val="24"/>
          <w:szCs w:val="24"/>
        </w:rPr>
        <w:t>～</w:t>
      </w:r>
      <w:r>
        <w:rPr>
          <w:rFonts w:hint="eastAsia" w:ascii="楷体" w:hAnsi="楷体" w:eastAsia="楷体" w:cs="楷体"/>
          <w:caps w:val="0"/>
          <w:sz w:val="24"/>
          <w:szCs w:val="24"/>
        </w:rPr>
        <w:t>11</w:t>
      </w:r>
      <w:r>
        <w:rPr>
          <w:rFonts w:hint="eastAsia" w:ascii="楷体" w:hAnsi="楷体" w:eastAsia="楷体" w:cs="楷体"/>
          <w:caps w:val="0"/>
          <w:sz w:val="24"/>
          <w:szCs w:val="24"/>
          <w:lang w:val="en-US" w:eastAsia="zh-CN"/>
        </w:rPr>
        <w:t>题。</w:t>
      </w:r>
      <w:r>
        <w:rPr>
          <w:rFonts w:ascii="宋体" w:hAnsi="宋体" w:eastAsia="宋体" w:cs="宋体"/>
          <w:sz w:val="24"/>
          <w:szCs w:val="24"/>
        </w:rPr>
        <w:t>   </w:t>
      </w:r>
      <w:r>
        <w:rPr>
          <w:rFonts w:hint="default" w:ascii="Calibri" w:hAnsi="Calibri" w:eastAsia="宋体" w:cs="Calibri"/>
          <w:caps w:val="0"/>
          <w:sz w:val="24"/>
          <w:szCs w:val="24"/>
        </w:rPr>
        <w:drawing>
          <wp:inline distT="0" distB="0" distL="114300" distR="114300">
            <wp:extent cx="4229100" cy="1724025"/>
            <wp:effectExtent l="0" t="0" r="0" b="9525"/>
            <wp:docPr id="4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aps w:val="0"/>
          <w:sz w:val="24"/>
          <w:szCs w:val="24"/>
        </w:rPr>
        <w:t>图3</w:t>
      </w:r>
    </w:p>
    <w:p w14:paraId="450069AB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caps w:val="0"/>
          <w:sz w:val="24"/>
          <w:szCs w:val="24"/>
        </w:rPr>
      </w:pPr>
    </w:p>
    <w:p w14:paraId="3B9EA1EE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9.</w:t>
      </w:r>
      <w:r>
        <w:rPr>
          <w:rFonts w:hint="default" w:ascii="Calibri" w:hAnsi="Calibri" w:eastAsia="宋体" w:cs="Calibri"/>
          <w:caps w:val="0"/>
          <w:sz w:val="24"/>
          <w:szCs w:val="24"/>
        </w:rPr>
        <w:t>华南是我国出现彩虹概率最大的地区之一，主要原因是该地区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6F180B51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A.锋面活动频繁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B. 强对流天气多    </w:t>
      </w:r>
    </w:p>
    <w:p w14:paraId="469F2B85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C.地形较复杂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D.日照时数长</w:t>
      </w:r>
    </w:p>
    <w:p w14:paraId="4EBFC0A6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10.暑假某日，小海同学在武夷山旅游，雨后邂逅一轮美丽的彩虹。此时的时间和他的朝向最可能是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336A61B2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A.07:30-08:30，面向太阳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B.10:30-11:30，背向太阳</w:t>
      </w:r>
    </w:p>
    <w:p w14:paraId="39A9A38A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C.14:30-15:30，面向太阳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D.16:30-17:30，背向太阳</w:t>
      </w:r>
    </w:p>
    <w:p w14:paraId="104E617A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11.</w:t>
      </w:r>
      <w:r>
        <w:rPr>
          <w:rFonts w:hint="default" w:ascii="Calibri" w:hAnsi="Calibri" w:eastAsia="宋体" w:cs="Calibri"/>
          <w:caps w:val="0"/>
          <w:sz w:val="24"/>
          <w:szCs w:val="24"/>
        </w:rPr>
        <w:t>从冬季到夏季，我国北方的彩虹可见概率的增幅较南方更大，主要是因为夏季北方较南方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75DA62E7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A.白昼更长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  B.降水更多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  C.大气能见度更高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D.太阳高度角更大</w:t>
      </w:r>
    </w:p>
    <w:p w14:paraId="11991AE6">
      <w:pPr>
        <w:numPr>
          <w:ilvl w:val="0"/>
          <w:numId w:val="0"/>
        </w:numPr>
        <w:spacing w:line="360" w:lineRule="auto"/>
        <w:ind w:firstLine="480" w:firstLineChars="200"/>
        <w:rPr>
          <w:rFonts w:hint="eastAsia" w:ascii="宋体" w:hAnsi="宋体" w:eastAsia="宋体" w:cs="宋体"/>
          <w:caps w:val="0"/>
          <w:sz w:val="24"/>
          <w:szCs w:val="24"/>
        </w:rPr>
      </w:pPr>
      <w:r>
        <w:rPr>
          <w:rFonts w:hint="eastAsia" w:ascii="楷体" w:hAnsi="楷体" w:eastAsia="楷体" w:cs="楷体"/>
          <w:caps w:val="0"/>
          <w:sz w:val="24"/>
          <w:szCs w:val="24"/>
        </w:rPr>
        <w:t>一天中，区域的居民活动类型 (工作、学习和休闲等) 越丰富，活动地点总数越多，区域之间人口流动越频繁，其活力越高。我国N市基于大数据测算城市活力，图4示意该市工作日两种高活力类型。据此完成12</w:t>
      </w:r>
      <w:r>
        <w:rPr>
          <w:rFonts w:hint="eastAsia" w:ascii="楷体" w:hAnsi="楷体" w:eastAsia="楷体" w:cs="楷体"/>
          <w:caps w:val="0"/>
          <w:spacing w:val="9"/>
          <w:sz w:val="24"/>
          <w:szCs w:val="24"/>
        </w:rPr>
        <w:t>～</w:t>
      </w:r>
      <w:r>
        <w:rPr>
          <w:rFonts w:hint="eastAsia" w:ascii="楷体" w:hAnsi="楷体" w:eastAsia="楷体" w:cs="楷体"/>
          <w:caps w:val="0"/>
          <w:sz w:val="24"/>
          <w:szCs w:val="24"/>
        </w:rPr>
        <w:t>14 题。</w:t>
      </w:r>
      <w:r>
        <w:rPr>
          <w:rFonts w:ascii="宋体" w:hAnsi="宋体" w:eastAsia="宋体" w:cs="宋体"/>
          <w:sz w:val="24"/>
          <w:szCs w:val="24"/>
        </w:rPr>
        <w:t>    </w:t>
      </w:r>
      <w:r>
        <w:rPr>
          <w:rFonts w:hint="default" w:ascii="Calibri" w:hAnsi="Calibri" w:eastAsia="宋体" w:cs="Calibri"/>
          <w:caps w:val="0"/>
          <w:sz w:val="24"/>
          <w:szCs w:val="24"/>
        </w:rPr>
        <w:drawing>
          <wp:inline distT="0" distB="0" distL="114300" distR="114300">
            <wp:extent cx="4286250" cy="1943100"/>
            <wp:effectExtent l="0" t="0" r="0" b="0"/>
            <wp:docPr id="5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aps w:val="0"/>
          <w:sz w:val="24"/>
          <w:szCs w:val="24"/>
        </w:rPr>
        <w:t>图4</w:t>
      </w:r>
    </w:p>
    <w:p w14:paraId="7A071B6F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12.</w:t>
      </w:r>
      <w:r>
        <w:rPr>
          <w:rFonts w:hint="default" w:ascii="Calibri" w:hAnsi="Calibri" w:eastAsia="宋体" w:cs="Calibri"/>
          <w:caps w:val="0"/>
          <w:sz w:val="24"/>
          <w:szCs w:val="24"/>
        </w:rPr>
        <w:t>甲型对应区域的功能最有可能是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72A32DDC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A文化创意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B.购物娱乐 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C.办公教育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D.高端居住</w:t>
      </w:r>
    </w:p>
    <w:p w14:paraId="6ADB149A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13.</w:t>
      </w:r>
      <w:r>
        <w:rPr>
          <w:rFonts w:hint="default" w:ascii="Calibri" w:hAnsi="Calibri" w:eastAsia="宋体" w:cs="Calibri"/>
          <w:caps w:val="0"/>
          <w:sz w:val="24"/>
          <w:szCs w:val="24"/>
        </w:rPr>
        <w:t>青少年比例高的某区域活力类型是乙型。该区域昼夜活力均较稳定表明青少年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20912E33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A.停留时间较短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B.参与的活动类型多样  </w:t>
      </w:r>
    </w:p>
    <w:p w14:paraId="0D3502D4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C.通勤频率较高 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D.出行目的地类型单一</w:t>
      </w:r>
    </w:p>
    <w:p w14:paraId="626910A6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14.地铁通常有助于提升城市活力。N 市新开通了一条途经某高活力区域的地铁。然而，该地铁对此区域的活力影响较小。推测当前该地铁沿途的其他区域人口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68CB5524">
      <w:pPr>
        <w:numPr>
          <w:ilvl w:val="0"/>
          <w:numId w:val="0"/>
        </w:numPr>
        <w:spacing w:line="360" w:lineRule="auto"/>
        <w:rPr>
          <w:rFonts w:ascii="宋体" w:hAnsi="宋体" w:eastAsia="宋体" w:cs="宋体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A.增长缓慢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B.流动频繁 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C.容量较大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   D.密度较小</w:t>
      </w:r>
      <w:r>
        <w:rPr>
          <w:rFonts w:hint="eastAsia" w:ascii="楷体" w:hAnsi="楷体" w:eastAsia="楷体" w:cs="楷体"/>
          <w:spacing w:val="7"/>
          <w:sz w:val="24"/>
          <w:szCs w:val="24"/>
        </w:rPr>
        <w:t>         </w:t>
      </w:r>
      <w:r>
        <w:rPr>
          <w:rFonts w:ascii="宋体" w:hAnsi="宋体" w:eastAsia="宋体" w:cs="宋体"/>
          <w:sz w:val="24"/>
          <w:szCs w:val="24"/>
        </w:rPr>
        <w:t> </w:t>
      </w:r>
    </w:p>
    <w:p w14:paraId="5FF809B8">
      <w:pPr>
        <w:numPr>
          <w:ilvl w:val="0"/>
          <w:numId w:val="0"/>
        </w:numPr>
        <w:spacing w:line="360" w:lineRule="auto"/>
        <w:ind w:firstLine="480" w:firstLineChars="200"/>
        <w:rPr>
          <w:rFonts w:hint="eastAsia" w:ascii="宋体" w:hAnsi="宋体" w:eastAsia="宋体" w:cs="宋体"/>
          <w:caps w:val="0"/>
          <w:sz w:val="24"/>
          <w:szCs w:val="24"/>
        </w:rPr>
      </w:pPr>
      <w:r>
        <w:rPr>
          <w:rFonts w:hint="eastAsia" w:ascii="楷体" w:hAnsi="楷体" w:eastAsia="楷体" w:cs="楷体"/>
          <w:caps w:val="0"/>
          <w:sz w:val="24"/>
          <w:szCs w:val="24"/>
        </w:rPr>
        <w:t>泥石流爆发后，部分物质冲出沟口，沟内残留物质会影响下一次泥石流的冲出量。图5 示意某条沟及沟口景观。该沟于 2013 年、2019 年和 2020 年爆发了泥石流，沟口冲出量分别为 11.50万m³、11.91万m³和11.04万m³。引发这三次泥石流的降雨量依次下降。图6示意泥石流冲出沟口后的堆积体。据此完成15</w:t>
      </w:r>
      <w:r>
        <w:rPr>
          <w:rFonts w:hint="eastAsia" w:ascii="楷体" w:hAnsi="楷体" w:eastAsia="楷体" w:cs="楷体"/>
          <w:caps w:val="0"/>
          <w:spacing w:val="9"/>
          <w:sz w:val="24"/>
          <w:szCs w:val="24"/>
        </w:rPr>
        <w:t>～</w:t>
      </w:r>
      <w:r>
        <w:rPr>
          <w:rFonts w:hint="eastAsia" w:ascii="楷体" w:hAnsi="楷体" w:eastAsia="楷体" w:cs="楷体"/>
          <w:caps w:val="0"/>
          <w:sz w:val="24"/>
          <w:szCs w:val="24"/>
        </w:rPr>
        <w:t>16题。</w:t>
      </w:r>
      <w:r>
        <w:rPr>
          <w:rFonts w:ascii="宋体" w:hAnsi="宋体" w:eastAsia="宋体" w:cs="宋体"/>
          <w:sz w:val="24"/>
          <w:szCs w:val="24"/>
        </w:rPr>
        <w:t>    </w:t>
      </w:r>
      <w:r>
        <w:rPr>
          <w:rFonts w:hint="default" w:ascii="Calibri" w:hAnsi="Calibri" w:eastAsia="宋体" w:cs="Calibri"/>
          <w:caps w:val="0"/>
          <w:sz w:val="24"/>
          <w:szCs w:val="24"/>
        </w:rPr>
        <w:drawing>
          <wp:inline distT="0" distB="0" distL="114300" distR="114300">
            <wp:extent cx="4943475" cy="1781175"/>
            <wp:effectExtent l="0" t="0" r="9525" b="9525"/>
            <wp:docPr id="8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6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aps w:val="0"/>
          <w:sz w:val="24"/>
          <w:szCs w:val="24"/>
        </w:rPr>
        <w:t>图5</w:t>
      </w:r>
    </w:p>
    <w:p w14:paraId="51BFF16C">
      <w:pPr>
        <w:numPr>
          <w:ilvl w:val="0"/>
          <w:numId w:val="0"/>
        </w:numPr>
        <w:spacing w:line="360" w:lineRule="auto"/>
        <w:ind w:firstLine="480" w:firstLineChars="200"/>
        <w:rPr>
          <w:rFonts w:hint="eastAsia" w:ascii="宋体" w:hAnsi="宋体" w:eastAsia="宋体" w:cs="宋体"/>
          <w:caps w:val="0"/>
          <w:sz w:val="24"/>
          <w:szCs w:val="24"/>
        </w:rPr>
      </w:pPr>
    </w:p>
    <w:p w14:paraId="224A9D26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15.2013 年与2019 年沟内物质量相近，但 2013 年泥石流冲出量较少，主要原因是 2013 年泥石流爆发前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</w:p>
    <w:p w14:paraId="2A4360D4">
      <w:pPr>
        <w:numPr>
          <w:ilvl w:val="0"/>
          <w:numId w:val="0"/>
        </w:numPr>
        <w:spacing w:line="360" w:lineRule="auto"/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A. 沟道弯曲度较小           B.降雨冲刷较强  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 </w:t>
      </w:r>
    </w:p>
    <w:p w14:paraId="35E23C6C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C.沟内的空间较大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  </w:t>
      </w:r>
      <w:r>
        <w:rPr>
          <w:rFonts w:hint="default" w:ascii="Calibri" w:hAnsi="Calibri" w:eastAsia="宋体" w:cs="Calibri"/>
          <w:caps w:val="0"/>
          <w:sz w:val="24"/>
          <w:szCs w:val="24"/>
        </w:rPr>
        <w:t> D.土壤水分较少                </w:t>
      </w:r>
    </w:p>
    <w:p w14:paraId="58A19478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spacing w:val="7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16.图6中PQ线示意的堆积体剖面结构最可能是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  <w:r>
        <w:rPr>
          <w:rFonts w:hint="default" w:ascii="Calibri" w:hAnsi="Calibri" w:eastAsia="宋体" w:cs="Calibri"/>
          <w:caps w:val="0"/>
          <w:sz w:val="24"/>
          <w:szCs w:val="24"/>
        </w:rPr>
        <w:drawing>
          <wp:inline distT="0" distB="0" distL="114300" distR="114300">
            <wp:extent cx="4591050" cy="1914525"/>
            <wp:effectExtent l="0" t="0" r="0" b="9525"/>
            <wp:docPr id="6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6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aps w:val="0"/>
          <w:sz w:val="24"/>
          <w:szCs w:val="24"/>
        </w:rPr>
        <w:t>图6</w:t>
      </w:r>
      <w:r>
        <w:rPr>
          <w:rFonts w:hint="default" w:ascii="Calibri" w:hAnsi="Calibri" w:eastAsia="宋体" w:cs="Calibri"/>
          <w:spacing w:val="7"/>
          <w:sz w:val="24"/>
          <w:szCs w:val="24"/>
        </w:rPr>
        <w:t> </w:t>
      </w:r>
    </w:p>
    <w:p w14:paraId="1730D9D7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b/>
          <w:bCs/>
          <w:caps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caps w:val="0"/>
          <w:sz w:val="24"/>
          <w:szCs w:val="24"/>
        </w:rPr>
        <w:t>二、非选择题（52分）</w:t>
      </w:r>
    </w:p>
    <w:p w14:paraId="6CCA370B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17.阅读图文材料，完成下列要求。(10分)</w:t>
      </w:r>
      <w:r>
        <w:rPr>
          <w:rFonts w:hint="eastAsia" w:ascii="楷体" w:hAnsi="楷体" w:eastAsia="楷体" w:cs="楷体"/>
          <w:caps w:val="0"/>
          <w:sz w:val="24"/>
          <w:szCs w:val="24"/>
        </w:rPr>
        <w:t>森林枯落物能吸收雨水，涵养水源。通常采用浸泡法和模拟降雨法两种方法测算枯落物吸水量。前者适用于满足枯落物长时间浸泡和含水量饱和的环境; 后者模拟当地降雨特点，将水降到枯落物后测算。福建某研学小组在当地考察时发现B处枯落物层比A处厚 (图7)。为更准确测算冬季A处枯落物的实际吸水量，该小组选择模拟降雨法。</w:t>
      </w:r>
      <w:r>
        <w:rPr>
          <w:rFonts w:ascii="宋体" w:hAnsi="宋体" w:eastAsia="宋体" w:cs="宋体"/>
          <w:sz w:val="24"/>
          <w:szCs w:val="24"/>
        </w:rPr>
        <w:t>    </w:t>
      </w:r>
      <w:r>
        <w:rPr>
          <w:rFonts w:hint="default" w:ascii="Calibri" w:hAnsi="Calibri" w:eastAsia="宋体" w:cs="Calibri"/>
          <w:caps w:val="0"/>
          <w:sz w:val="24"/>
          <w:szCs w:val="24"/>
        </w:rPr>
        <w:drawing>
          <wp:inline distT="0" distB="0" distL="114300" distR="114300">
            <wp:extent cx="3400425" cy="2095500"/>
            <wp:effectExtent l="0" t="0" r="9525" b="0"/>
            <wp:docPr id="3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aps w:val="0"/>
          <w:sz w:val="24"/>
          <w:szCs w:val="24"/>
        </w:rPr>
        <w:t>图7</w:t>
      </w:r>
    </w:p>
    <w:p w14:paraId="07D26F44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caps w:val="0"/>
          <w:sz w:val="24"/>
          <w:szCs w:val="24"/>
        </w:rPr>
      </w:pPr>
    </w:p>
    <w:p w14:paraId="5646D49E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sz w:val="24"/>
          <w:szCs w:val="24"/>
        </w:rPr>
        <w:t>分析浸泡法不适用于准确测算冬季A处枯落物实际吸水量的自然原因。（10分）</w:t>
      </w:r>
    </w:p>
    <w:p w14:paraId="009DE0D4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168ACF97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06AC98D2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44099009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0E2888A3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7523F3DC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5293F9CB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4A840353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5363791B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3971A9D3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caps w:val="0"/>
          <w:sz w:val="24"/>
          <w:szCs w:val="24"/>
        </w:rPr>
      </w:pPr>
      <w:r>
        <w:rPr>
          <w:rFonts w:hint="eastAsia" w:ascii="宋体" w:hAnsi="宋体" w:eastAsia="宋体" w:cs="宋体"/>
          <w:caps w:val="0"/>
          <w:kern w:val="2"/>
          <w:sz w:val="24"/>
          <w:szCs w:val="24"/>
          <w:lang w:val="en-US" w:eastAsia="zh-CN" w:bidi="ar-SA"/>
        </w:rPr>
        <w:t>18.</w:t>
      </w:r>
      <w:r>
        <w:rPr>
          <w:rFonts w:hint="default" w:ascii="Calibri" w:hAnsi="Calibri" w:eastAsia="宋体" w:cs="Calibri"/>
          <w:caps w:val="0"/>
          <w:sz w:val="24"/>
          <w:szCs w:val="24"/>
        </w:rPr>
        <w:t>阅读图文材料，完成下列要求。(22分)</w:t>
      </w:r>
      <w:r>
        <w:rPr>
          <w:rFonts w:hint="eastAsia" w:ascii="楷体" w:hAnsi="楷体" w:eastAsia="楷体" w:cs="楷体"/>
          <w:caps w:val="0"/>
          <w:sz w:val="24"/>
          <w:szCs w:val="24"/>
        </w:rPr>
        <w:t>新中国成立后，上海开启了郊区城镇化进程 (图8)，逐步在郊区规划建设了许多功能区，促进各类要素在此集聚。2001年后，上海在郊区建设新城，完善基础设施和公共配套，布局大型购物中心，逐步实现产城融合。临港新城 (L) 是上海产城融合的典范，中国新闻网对此报道:“脚下是陶瓷废料制成的再生地砖，蓝色透水沥青路旁边草木葱芜。海风徐徐，树影婆婆，高达50%的森林覆盖率让临港不仅空气清新，而且较别处更多了几分清凉。围绕滴水湖，已经形成了功能各异的城市环带。</w:t>
      </w:r>
    </w:p>
    <w:p w14:paraId="6DCD1968">
      <w:pPr>
        <w:numPr>
          <w:ilvl w:val="0"/>
          <w:numId w:val="0"/>
        </w:numPr>
        <w:spacing w:line="360" w:lineRule="auto"/>
        <w:rPr>
          <w:rFonts w:hint="eastAsia" w:ascii="宋体" w:hAnsi="宋体" w:eastAsia="宋体" w:cs="宋体"/>
          <w:caps w:val="0"/>
          <w:sz w:val="24"/>
          <w:szCs w:val="24"/>
        </w:rPr>
      </w:pPr>
      <w:r>
        <w:rPr>
          <w:rFonts w:hint="eastAsia" w:ascii="宋体" w:hAnsi="宋体" w:eastAsia="宋体" w:cs="宋体"/>
          <w:caps w:val="0"/>
          <w:sz w:val="24"/>
          <w:szCs w:val="24"/>
        </w:rPr>
        <w:t>图8</w:t>
      </w:r>
      <w:r>
        <w:rPr>
          <w:rFonts w:ascii="宋体" w:hAnsi="宋体" w:eastAsia="宋体" w:cs="宋体"/>
          <w:sz w:val="24"/>
          <w:szCs w:val="24"/>
        </w:rPr>
        <w:t>    </w:t>
      </w:r>
      <w:r>
        <w:rPr>
          <w:rFonts w:hint="default" w:ascii="Calibri" w:hAnsi="Calibri" w:eastAsia="宋体" w:cs="Calibri"/>
          <w:caps w:val="0"/>
          <w:sz w:val="24"/>
          <w:szCs w:val="24"/>
        </w:rPr>
        <w:drawing>
          <wp:inline distT="0" distB="0" distL="114300" distR="114300">
            <wp:extent cx="5267325" cy="2209800"/>
            <wp:effectExtent l="0" t="0" r="9525" b="0"/>
            <wp:docPr id="9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IMG_26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 xml:space="preserve">    </w:t>
      </w:r>
    </w:p>
    <w:p w14:paraId="6D0F0B55">
      <w:pPr>
        <w:numPr>
          <w:ilvl w:val="0"/>
          <w:numId w:val="0"/>
        </w:numPr>
        <w:spacing w:line="360" w:lineRule="auto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（1）</w:t>
      </w:r>
      <w:r>
        <w:rPr>
          <w:rFonts w:hint="default" w:ascii="Calibri" w:hAnsi="Calibri" w:eastAsia="宋体" w:cs="Calibri"/>
          <w:caps w:val="0"/>
          <w:sz w:val="24"/>
          <w:szCs w:val="24"/>
        </w:rPr>
        <w:t>归纳阶段Ⅰ到Ⅲ上海郊区功能区演变的特点。(4分)              </w:t>
      </w:r>
    </w:p>
    <w:p w14:paraId="2FBB340C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（2）</w:t>
      </w:r>
      <w:r>
        <w:rPr>
          <w:rFonts w:hint="default" w:ascii="Calibri" w:hAnsi="Calibri" w:eastAsia="宋体" w:cs="Calibri"/>
          <w:caps w:val="0"/>
          <w:sz w:val="24"/>
          <w:szCs w:val="24"/>
        </w:rPr>
        <w:t>说明阶段Ⅲ各要素流动对上海人口流向郊区的拉力作用。(6分)</w:t>
      </w:r>
    </w:p>
    <w:p w14:paraId="1BCEABE9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（3）</w:t>
      </w:r>
      <w:r>
        <w:rPr>
          <w:rFonts w:hint="default" w:ascii="Calibri" w:hAnsi="Calibri" w:eastAsia="宋体" w:cs="Calibri"/>
          <w:caps w:val="0"/>
          <w:sz w:val="24"/>
          <w:szCs w:val="24"/>
        </w:rPr>
        <w:t>从集聚效应的角度，评价上海郊区大型购物中心对入驻商家的影响。(6分)</w:t>
      </w:r>
    </w:p>
    <w:p w14:paraId="27C180B0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>（4）</w:t>
      </w:r>
      <w:r>
        <w:rPr>
          <w:rFonts w:hint="default" w:ascii="Calibri" w:hAnsi="Calibri" w:eastAsia="宋体" w:cs="Calibri"/>
          <w:caps w:val="0"/>
          <w:sz w:val="24"/>
          <w:szCs w:val="24"/>
        </w:rPr>
        <w:t>说明临港新城是如何实现自然环境调节功能的。(6分)</w:t>
      </w:r>
    </w:p>
    <w:p w14:paraId="6FF157B8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0470E3A9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768B1393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0ADCCA43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41E0D1A2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2461CFB0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41086712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67C30FDE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0D81FE4E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33B084D6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79EE8459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3CC7A28F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default" w:ascii="Calibri" w:hAnsi="Calibri" w:eastAsia="宋体" w:cs="Calibri"/>
          <w:caps w:val="0"/>
          <w:kern w:val="2"/>
          <w:sz w:val="24"/>
          <w:szCs w:val="24"/>
          <w:lang w:val="en-US" w:eastAsia="zh-CN" w:bidi="ar-SA"/>
        </w:rPr>
        <w:t>19.</w:t>
      </w:r>
      <w:r>
        <w:rPr>
          <w:rFonts w:hint="default" w:ascii="Calibri" w:hAnsi="Calibri" w:eastAsia="宋体" w:cs="Calibri"/>
          <w:caps w:val="0"/>
          <w:sz w:val="24"/>
          <w:szCs w:val="24"/>
        </w:rPr>
        <w:t>阅读图文材料，完成下列要求。(20分)</w:t>
      </w:r>
      <w:r>
        <w:rPr>
          <w:rFonts w:hint="eastAsia" w:ascii="楷体" w:hAnsi="楷体" w:eastAsia="楷体" w:cs="楷体"/>
          <w:caps w:val="0"/>
          <w:sz w:val="24"/>
          <w:szCs w:val="24"/>
        </w:rPr>
        <w:t>古环境演变可从地质构造、沉积特征、化石类型和全球气候变化等方面进行研究。距今约150万年，澳大利亚东南部存在古大湖 (图9)，墨累河流经此湖并于P处溢出入海。此后，气候干湿交替，该湖逐渐变成内陆咸水湖。甲、乙两处水下沉积速率一致且无间断，沉积地层中含有古生物化石。黏土层形成于深淡水湖环境，石灰岩层形成于浅咸水湖环境。石灰岩层顶部海拔指示相应地点当时的湖面高度 (图</w:t>
      </w:r>
      <w:r>
        <w:rPr>
          <w:rFonts w:hint="eastAsia" w:ascii="楷体" w:hAnsi="楷体" w:eastAsia="楷体" w:cs="楷体"/>
          <w:caps w:val="0"/>
          <w:sz w:val="24"/>
          <w:szCs w:val="24"/>
          <w:lang w:val="en-US" w:eastAsia="zh-CN"/>
        </w:rPr>
        <w:t xml:space="preserve">10  </w:t>
      </w:r>
      <w:r>
        <w:rPr>
          <w:rFonts w:hint="eastAsia" w:ascii="楷体" w:hAnsi="楷体" w:eastAsia="楷体" w:cs="楷体"/>
          <w:caps w:val="0"/>
          <w:sz w:val="24"/>
          <w:szCs w:val="24"/>
        </w:rPr>
        <w:t>)。</w:t>
      </w:r>
      <w:r>
        <w:rPr>
          <w:rFonts w:ascii="宋体" w:hAnsi="宋体" w:eastAsia="宋体" w:cs="宋体"/>
          <w:sz w:val="24"/>
          <w:szCs w:val="24"/>
        </w:rPr>
        <w:t>    </w:t>
      </w:r>
      <w:r>
        <w:rPr>
          <w:rFonts w:hint="default" w:ascii="Calibri" w:hAnsi="Calibri" w:eastAsia="宋体" w:cs="Calibri"/>
          <w:caps w:val="0"/>
          <w:sz w:val="24"/>
          <w:szCs w:val="24"/>
        </w:rPr>
        <w:drawing>
          <wp:inline distT="0" distB="0" distL="114300" distR="114300">
            <wp:extent cx="5267325" cy="2419350"/>
            <wp:effectExtent l="0" t="0" r="9525" b="0"/>
            <wp:docPr id="1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 descr="IMG_26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FAC436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>1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  <w:r>
        <w:rPr>
          <w:rFonts w:hint="default" w:ascii="Calibri" w:hAnsi="Calibri" w:eastAsia="宋体" w:cs="Calibri"/>
          <w:caps w:val="0"/>
          <w:sz w:val="24"/>
          <w:szCs w:val="24"/>
        </w:rPr>
        <w:t>根据沉积地层特征，分别说明古大湖区域干旱化和甲处先于乙处露出湖面的依据。(8分)</w:t>
      </w:r>
    </w:p>
    <w:p w14:paraId="0CDD73CB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spacing w:val="7"/>
          <w:sz w:val="24"/>
          <w:szCs w:val="24"/>
        </w:rPr>
      </w:pP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>2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  <w:r>
        <w:rPr>
          <w:rFonts w:hint="default" w:ascii="Calibri" w:hAnsi="Calibri" w:eastAsia="宋体" w:cs="Calibri"/>
          <w:caps w:val="0"/>
          <w:sz w:val="24"/>
          <w:szCs w:val="24"/>
        </w:rPr>
        <w:t>墨累河曾因P处海拔较高而无法入海，后又经P处重新入海。推测使墨累河重新入海</w:t>
      </w:r>
      <w:r>
        <w:rPr>
          <w:rFonts w:hint="default" w:ascii="Calibri" w:hAnsi="Calibri" w:eastAsia="宋体" w:cs="Calibri"/>
          <w:spacing w:val="7"/>
          <w:sz w:val="24"/>
          <w:szCs w:val="24"/>
        </w:rPr>
        <w:t>的主要内、外力作用。(4分)</w:t>
      </w:r>
    </w:p>
    <w:p w14:paraId="6B3E9B1C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（</w:t>
      </w:r>
      <w:r>
        <w:rPr>
          <w:rFonts w:hint="eastAsia" w:ascii="Calibri" w:hAnsi="Calibri" w:eastAsia="宋体" w:cs="Calibri"/>
          <w:caps w:val="0"/>
          <w:sz w:val="24"/>
          <w:szCs w:val="24"/>
          <w:lang w:val="en-US" w:eastAsia="zh-CN"/>
        </w:rPr>
        <w:t>3</w:t>
      </w:r>
      <w:r>
        <w:rPr>
          <w:rFonts w:hint="eastAsia" w:ascii="Calibri" w:hAnsi="Calibri" w:eastAsia="宋体" w:cs="Calibri"/>
          <w:caps w:val="0"/>
          <w:sz w:val="24"/>
          <w:szCs w:val="24"/>
          <w:lang w:eastAsia="zh-CN"/>
        </w:rPr>
        <w:t>）</w:t>
      </w:r>
      <w:r>
        <w:rPr>
          <w:rFonts w:hint="default" w:ascii="Calibri" w:hAnsi="Calibri" w:eastAsia="宋体" w:cs="Calibri"/>
          <w:caps w:val="0"/>
          <w:sz w:val="24"/>
          <w:szCs w:val="24"/>
        </w:rPr>
        <w:t xml:space="preserve">研究表明，P 处北侧附近未遭受过海水入侵。如果不考虑构造因素，若为科考队员，在野外可以寻找哪些方面的证据并论证该观点 (列举两方面)。(8 分)        </w:t>
      </w:r>
    </w:p>
    <w:p w14:paraId="55CE6E0E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6A5F959F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71B93F9C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57698135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7B5A0295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33D5D557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50C12796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2766BAF6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1F4239F7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7ECEAD8F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4B6A5E50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231D0272">
      <w:pPr>
        <w:numPr>
          <w:ilvl w:val="0"/>
          <w:numId w:val="0"/>
        </w:numPr>
        <w:spacing w:line="360" w:lineRule="auto"/>
        <w:ind w:left="0" w:leftChars="0" w:firstLine="0" w:firstLineChars="0"/>
        <w:rPr>
          <w:rFonts w:hint="default" w:ascii="Calibri" w:hAnsi="Calibri" w:eastAsia="宋体" w:cs="Calibri"/>
          <w:caps w:val="0"/>
          <w:sz w:val="24"/>
          <w:szCs w:val="24"/>
        </w:rPr>
      </w:pPr>
    </w:p>
    <w:p w14:paraId="38D0882E">
      <w:pPr>
        <w:numPr>
          <w:ilvl w:val="0"/>
          <w:numId w:val="0"/>
        </w:numPr>
        <w:spacing w:line="360" w:lineRule="auto"/>
        <w:ind w:left="282" w:leftChars="0" w:firstLine="0" w:firstLineChars="0"/>
        <w:jc w:val="left"/>
        <w:rPr>
          <w:rFonts w:hint="default" w:ascii="Calibri" w:hAnsi="Calibri" w:eastAsia="宋体" w:cs="Calibri"/>
          <w:caps w:val="0"/>
          <w:sz w:val="24"/>
          <w:szCs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080" w:bottom="1440" w:left="108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00A175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8B0C8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0F544E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2BD31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AA008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03B835">
    <w:pPr>
      <w:pStyle w:val="3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8692956"/>
    <w:multiLevelType w:val="singleLevel"/>
    <w:tmpl w:val="E8692956"/>
    <w:lvl w:ilvl="0" w:tentative="0">
      <w:start w:val="1"/>
      <w:numFmt w:val="upperLetter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NkOGZkOWU2NWZhMzZhNDZmMjRmYjAyYjQ0ZmMyNjgifQ=="/>
  </w:docVars>
  <w:rsids>
    <w:rsidRoot w:val="00000000"/>
    <w:rsid w:val="3A4307AE"/>
    <w:rsid w:val="59D91DE2"/>
    <w:rsid w:val="666049BF"/>
    <w:rsid w:val="6AD748E0"/>
    <w:rsid w:val="72961C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Theme="minorEastAsia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7</Pages>
  <Words>2607</Words>
  <Characters>2825</Characters>
  <Lines>0</Lines>
  <Paragraphs>0</Paragraphs>
  <TotalTime>0</TotalTime>
  <ScaleCrop>false</ScaleCrop>
  <LinksUpToDate>false</LinksUpToDate>
  <CharactersWithSpaces>3300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2026-02-10T06:37:00Z</dcterms:created>
  <dc:creator>Administrator</dc:creator>
  <cp:lastModifiedBy>上帝掷骰子吗</cp:lastModifiedBy>
  <dcterms:modified xsi:type="dcterms:W3CDTF">2026-02-10T06:55:33Z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737E2B82E5204BDFAEAF2E4079444FDB_12</vt:lpwstr>
  </property>
</Properties>
</file>