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ADB915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10464800</wp:posOffset>
            </wp:positionH>
            <wp:positionV relativeFrom="topMargin">
              <wp:posOffset>10845800</wp:posOffset>
            </wp:positionV>
            <wp:extent cx="406400" cy="431800"/>
            <wp:effectExtent l="0" t="0" r="3175" b="635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0"/>
                    <a:stretch>
                      <a:fillRect/>
                    </a:stretch>
                  </pic:blipFill>
                  <pic:spPr>
                    <a:xfrm>
                      <a:off x="0" y="0"/>
                      <a:ext cx="406400" cy="431800"/>
                    </a:xfrm>
                    <a:prstGeom prst="rect">
                      <a:avLst/>
                    </a:prstGeom>
                  </pic:spPr>
                </pic:pic>
              </a:graphicData>
            </a:graphic>
          </wp:anchor>
        </w:drawing>
      </w:r>
      <w:r>
        <w:rPr>
          <w:rFonts w:ascii="宋体" w:hAnsi="宋体" w:eastAsia="宋体" w:cs="宋体"/>
          <w:b/>
          <w:color w:val="auto"/>
          <w:sz w:val="32"/>
        </w:rPr>
        <w:t>2023年河北省普通高中学业水平选择性考试</w:t>
      </w:r>
    </w:p>
    <w:p w14:paraId="7F982336">
      <w:pPr>
        <w:spacing w:line="360" w:lineRule="auto"/>
        <w:jc w:val="center"/>
      </w:pPr>
      <w:r>
        <w:rPr>
          <w:rFonts w:ascii="宋体" w:hAnsi="宋体" w:eastAsia="宋体" w:cs="宋体"/>
          <w:b/>
          <w:color w:val="auto"/>
          <w:sz w:val="32"/>
        </w:rPr>
        <w:t>地理</w:t>
      </w:r>
    </w:p>
    <w:p w14:paraId="0AE0FF65">
      <w:pPr>
        <w:spacing w:line="360" w:lineRule="auto"/>
        <w:jc w:val="left"/>
      </w:pPr>
      <w:r>
        <w:rPr>
          <w:rFonts w:ascii="宋体" w:hAnsi="宋体" w:eastAsia="宋体" w:cs="宋体"/>
          <w:b/>
          <w:color w:val="auto"/>
          <w:sz w:val="24"/>
        </w:rPr>
        <w:t>注意事项:</w:t>
      </w:r>
    </w:p>
    <w:p w14:paraId="3A1BAFBC">
      <w:pPr>
        <w:spacing w:line="360" w:lineRule="auto"/>
        <w:jc w:val="left"/>
      </w:pPr>
      <w:r>
        <w:rPr>
          <w:rFonts w:ascii="宋体" w:hAnsi="宋体" w:eastAsia="宋体" w:cs="宋体"/>
          <w:b/>
          <w:color w:val="auto"/>
          <w:sz w:val="24"/>
        </w:rPr>
        <w:t>1．答题前，考生务必将自己的姓名、准考证号写在答题卡和本试卷上。</w:t>
      </w:r>
    </w:p>
    <w:p w14:paraId="3A4B169A">
      <w:pPr>
        <w:spacing w:line="360" w:lineRule="auto"/>
        <w:jc w:val="left"/>
      </w:pPr>
      <w:r>
        <w:rPr>
          <w:rFonts w:ascii="宋体" w:hAnsi="宋体" w:eastAsia="宋体" w:cs="宋体"/>
          <w:b/>
          <w:color w:val="auto"/>
          <w:sz w:val="24"/>
        </w:rPr>
        <w:t>2．回答选择题时，选出每小题答案后，用铅笔把答题卡上对应题目的答案标号框涂黑。如需改动，用橡皮擦干净后，再选涂其它答案标号。回答非选择题时，将答案写在答题卡上。写在本试卷上无效。</w:t>
      </w:r>
    </w:p>
    <w:p w14:paraId="44DD2685">
      <w:pPr>
        <w:spacing w:line="360" w:lineRule="auto"/>
        <w:jc w:val="left"/>
      </w:pPr>
      <w:r>
        <w:rPr>
          <w:rFonts w:ascii="宋体" w:hAnsi="宋体" w:eastAsia="宋体" w:cs="宋体"/>
          <w:b/>
          <w:color w:val="auto"/>
          <w:sz w:val="24"/>
        </w:rPr>
        <w:t>3．考试结束后，将本试卷和答题卡一并交回。</w:t>
      </w:r>
    </w:p>
    <w:p w14:paraId="1131B875">
      <w:pPr>
        <w:spacing w:line="360" w:lineRule="auto"/>
        <w:jc w:val="left"/>
      </w:pPr>
      <w:r>
        <w:rPr>
          <w:rFonts w:ascii="宋体" w:hAnsi="宋体" w:eastAsia="宋体" w:cs="宋体"/>
          <w:b/>
          <w:color w:val="auto"/>
          <w:sz w:val="24"/>
        </w:rPr>
        <w:t>一、单项选择题：本题共16小题，每小题3分，共48分。在每小题给出的四个选项中，只有一项是符合题目要求的。</w:t>
      </w:r>
    </w:p>
    <w:p w14:paraId="67A26C4C">
      <w:pPr>
        <w:spacing w:line="360" w:lineRule="auto"/>
        <w:ind w:firstLine="420"/>
        <w:jc w:val="left"/>
      </w:pPr>
      <w:r>
        <w:rPr>
          <w:rFonts w:ascii="楷体" w:hAnsi="楷体" w:eastAsia="楷体" w:cs="楷体"/>
          <w:color w:val="auto"/>
        </w:rPr>
        <w:t>五指山大叶种茶品质优良，被誉为“华夏第一早春茶”。位于五指山热带雨林深处的毛纳村，曾是一个偏远落后的黎族村寨，近年来因地制宜发展茶产业，并依托茶旅融合（下图），将生态优势转变为产业优势，走上了生态美、产业兴、生活好的发展之路。在党的二十大精神指引下，毛纳村乡村振兴的步伐越来越坚实。据此完成下面小题。</w:t>
      </w:r>
    </w:p>
    <w:p w14:paraId="6909EB58">
      <w:pPr>
        <w:spacing w:line="360" w:lineRule="auto"/>
        <w:jc w:val="left"/>
      </w:pPr>
      <w:r>
        <w:drawing>
          <wp:inline distT="0" distB="0" distL="114300" distR="114300">
            <wp:extent cx="3467100" cy="221932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467100" cy="2219325"/>
                    </a:xfrm>
                    <a:prstGeom prst="rect">
                      <a:avLst/>
                    </a:prstGeom>
                  </pic:spPr>
                </pic:pic>
              </a:graphicData>
            </a:graphic>
          </wp:inline>
        </w:drawing>
      </w:r>
    </w:p>
    <w:p w14:paraId="63F96295">
      <w:pPr>
        <w:spacing w:line="360" w:lineRule="auto"/>
        <w:jc w:val="left"/>
        <w:textAlignment w:val="center"/>
        <w:rPr>
          <w:color w:val="auto"/>
        </w:rPr>
      </w:pPr>
      <w:r>
        <w:t xml:space="preserve">1. </w:t>
      </w:r>
      <w:r>
        <w:rPr>
          <w:rFonts w:ascii="宋体" w:hAnsi="宋体" w:eastAsia="宋体" w:cs="宋体"/>
          <w:color w:val="auto"/>
        </w:rPr>
        <w:t>五指山大叶种茶品质优良，得益于当地（   ）</w:t>
      </w:r>
    </w:p>
    <w:p w14:paraId="536053C0">
      <w:pPr>
        <w:tabs>
          <w:tab w:val="left" w:pos="4873"/>
        </w:tabs>
        <w:spacing w:line="360" w:lineRule="auto"/>
        <w:jc w:val="left"/>
        <w:textAlignment w:val="center"/>
        <w:rPr>
          <w:color w:val="auto"/>
        </w:rPr>
      </w:pPr>
      <w:r>
        <w:t xml:space="preserve">A. </w:t>
      </w:r>
      <w:r>
        <w:rPr>
          <w:rFonts w:ascii="宋体" w:hAnsi="宋体" w:eastAsia="宋体" w:cs="宋体"/>
          <w:color w:val="auto"/>
        </w:rPr>
        <w:t>悠久的种植历史</w:t>
      </w:r>
      <w:r>
        <w:tab/>
      </w:r>
      <w:r>
        <w:t xml:space="preserve">B. </w:t>
      </w:r>
      <w:r>
        <w:rPr>
          <w:rFonts w:ascii="宋体" w:hAnsi="宋体" w:eastAsia="宋体" w:cs="宋体"/>
          <w:color w:val="auto"/>
        </w:rPr>
        <w:t>传统的加工技艺</w:t>
      </w:r>
    </w:p>
    <w:p w14:paraId="7E14C7AF">
      <w:pPr>
        <w:tabs>
          <w:tab w:val="left" w:pos="4873"/>
        </w:tabs>
        <w:spacing w:line="360" w:lineRule="auto"/>
        <w:jc w:val="left"/>
        <w:textAlignment w:val="center"/>
        <w:rPr>
          <w:color w:val="auto"/>
        </w:rPr>
      </w:pPr>
      <w:r>
        <w:t xml:space="preserve">C. </w:t>
      </w:r>
      <w:r>
        <w:rPr>
          <w:rFonts w:ascii="宋体" w:hAnsi="宋体" w:eastAsia="宋体" w:cs="宋体"/>
          <w:color w:val="auto"/>
        </w:rPr>
        <w:t>优越</w:t>
      </w:r>
      <w:r>
        <w:rPr>
          <w:rFonts w:ascii="宋体" w:hAnsi="宋体" w:eastAsia="宋体" w:cs="宋体"/>
          <w:color w:val="auto"/>
          <w:position w:val="0"/>
        </w:rPr>
        <w:drawing>
          <wp:inline distT="0" distB="0" distL="114300" distR="114300">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自然环境</w:t>
      </w:r>
      <w:r>
        <w:tab/>
      </w:r>
      <w:r>
        <w:t xml:space="preserve">D. </w:t>
      </w:r>
      <w:r>
        <w:rPr>
          <w:rFonts w:ascii="宋体" w:hAnsi="宋体" w:eastAsia="宋体" w:cs="宋体"/>
          <w:color w:val="auto"/>
        </w:rPr>
        <w:t>丰富的种植经验</w:t>
      </w:r>
    </w:p>
    <w:p w14:paraId="50ABFFCF">
      <w:pPr>
        <w:spacing w:line="360" w:lineRule="auto"/>
        <w:jc w:val="left"/>
        <w:textAlignment w:val="center"/>
        <w:rPr>
          <w:color w:val="auto"/>
        </w:rPr>
      </w:pPr>
      <w:r>
        <w:t xml:space="preserve">2. </w:t>
      </w:r>
      <w:r>
        <w:rPr>
          <w:rFonts w:ascii="宋体" w:hAnsi="宋体" w:eastAsia="宋体" w:cs="宋体"/>
          <w:color w:val="auto"/>
        </w:rPr>
        <w:t>除茶产业之外，毛纳村茶旅融合发展的特色资源禀赋是（   ）</w:t>
      </w:r>
    </w:p>
    <w:p w14:paraId="2B0A95D5">
      <w:pPr>
        <w:tabs>
          <w:tab w:val="left" w:pos="4873"/>
        </w:tabs>
        <w:spacing w:line="360" w:lineRule="auto"/>
        <w:jc w:val="left"/>
        <w:textAlignment w:val="center"/>
        <w:rPr>
          <w:color w:val="auto"/>
        </w:rPr>
      </w:pPr>
      <w:r>
        <w:t xml:space="preserve">A. </w:t>
      </w:r>
      <w:r>
        <w:rPr>
          <w:rFonts w:ascii="宋体" w:hAnsi="宋体" w:eastAsia="宋体" w:cs="宋体"/>
          <w:color w:val="auto"/>
        </w:rPr>
        <w:t>黎族文化和热带雨林</w:t>
      </w:r>
      <w:r>
        <w:tab/>
      </w:r>
      <w:r>
        <w:t xml:space="preserve">B. </w:t>
      </w:r>
      <w:r>
        <w:rPr>
          <w:rFonts w:ascii="宋体" w:hAnsi="宋体" w:eastAsia="宋体" w:cs="宋体"/>
          <w:color w:val="auto"/>
        </w:rPr>
        <w:t>热带雨林和乡村田园</w:t>
      </w:r>
    </w:p>
    <w:p w14:paraId="72E690BD">
      <w:pPr>
        <w:tabs>
          <w:tab w:val="left" w:pos="4873"/>
        </w:tabs>
        <w:spacing w:line="360" w:lineRule="auto"/>
        <w:jc w:val="left"/>
        <w:textAlignment w:val="center"/>
        <w:rPr>
          <w:color w:val="000000"/>
        </w:rPr>
      </w:pPr>
      <w:r>
        <w:t xml:space="preserve">C. </w:t>
      </w:r>
      <w:r>
        <w:rPr>
          <w:rFonts w:ascii="宋体" w:hAnsi="宋体" w:eastAsia="宋体" w:cs="宋体"/>
          <w:color w:val="auto"/>
        </w:rPr>
        <w:t>黎族文化和海岛风光</w:t>
      </w:r>
      <w:r>
        <w:tab/>
      </w:r>
      <w:r>
        <w:t xml:space="preserve">D. </w:t>
      </w:r>
      <w:r>
        <w:rPr>
          <w:rFonts w:ascii="宋体" w:hAnsi="宋体" w:eastAsia="宋体" w:cs="宋体"/>
          <w:color w:val="auto"/>
        </w:rPr>
        <w:t>海岛风光和乡村田园</w:t>
      </w:r>
    </w:p>
    <w:p w14:paraId="1A08C7EF">
      <w:pPr>
        <w:spacing w:line="360" w:lineRule="auto"/>
        <w:ind w:firstLine="420"/>
        <w:jc w:val="left"/>
        <w:textAlignment w:val="center"/>
        <w:rPr>
          <w:color w:val="000000"/>
        </w:rPr>
      </w:pPr>
      <w:r>
        <w:rPr>
          <w:rFonts w:ascii="楷体" w:hAnsi="楷体" w:eastAsia="楷体" w:cs="楷体"/>
          <w:color w:val="000000"/>
        </w:rPr>
        <w:t>《海录》记载了我国清代船员的航海见闻：“万山一名鲁万山，广州外海岛屿也。山有二，东山在新安县界，西山在香山县界，沿海渔船籍以笔风雨。西南风急则居东澳，东北风急则居西澳，凡南洋海艘俱由此出口，故纪海国自万山始。”下图展现了海南先民根据航向和用航海时间估算的距离而绘制的南海作业线路（局部）。据此完成下面小题。</w:t>
      </w:r>
    </w:p>
    <w:p w14:paraId="1AE91C19">
      <w:pPr>
        <w:spacing w:line="360" w:lineRule="auto"/>
        <w:jc w:val="left"/>
        <w:textAlignment w:val="center"/>
        <w:rPr>
          <w:color w:val="000000"/>
        </w:rPr>
      </w:pPr>
      <w:r>
        <w:rPr>
          <w:color w:val="000000"/>
        </w:rPr>
        <w:drawing>
          <wp:inline distT="0" distB="0" distL="114300" distR="114300">
            <wp:extent cx="4857750" cy="21812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4857750" cy="2181225"/>
                    </a:xfrm>
                    <a:prstGeom prst="rect">
                      <a:avLst/>
                    </a:prstGeom>
                  </pic:spPr>
                </pic:pic>
              </a:graphicData>
            </a:graphic>
          </wp:inline>
        </w:drawing>
      </w:r>
    </w:p>
    <w:p w14:paraId="79503F8A">
      <w:pPr>
        <w:spacing w:line="360" w:lineRule="auto"/>
        <w:jc w:val="left"/>
        <w:textAlignment w:val="center"/>
        <w:rPr>
          <w:color w:val="000000"/>
        </w:rPr>
      </w:pPr>
      <w:r>
        <w:rPr>
          <w:color w:val="000000"/>
        </w:rPr>
        <w:t xml:space="preserve">3. </w:t>
      </w:r>
      <w:r>
        <w:rPr>
          <w:rFonts w:ascii="宋体" w:hAnsi="宋体" w:eastAsia="宋体" w:cs="宋体"/>
          <w:color w:val="000000"/>
        </w:rPr>
        <w:t>广东沿海地名多有“澳”字，“澳”字代表（   ）</w:t>
      </w:r>
    </w:p>
    <w:p w14:paraId="0877AEE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海峡</w:t>
      </w:r>
      <w:r>
        <w:rPr>
          <w:color w:val="000000"/>
        </w:rPr>
        <w:tab/>
      </w:r>
      <w:r>
        <w:rPr>
          <w:color w:val="000000"/>
        </w:rPr>
        <w:t xml:space="preserve">B. </w:t>
      </w:r>
      <w:r>
        <w:rPr>
          <w:rFonts w:ascii="宋体" w:hAnsi="宋体" w:eastAsia="宋体" w:cs="宋体"/>
          <w:color w:val="000000"/>
        </w:rPr>
        <w:t>岛屿</w:t>
      </w:r>
      <w:r>
        <w:rPr>
          <w:color w:val="000000"/>
        </w:rPr>
        <w:tab/>
      </w:r>
      <w:r>
        <w:rPr>
          <w:color w:val="000000"/>
        </w:rPr>
        <w:t xml:space="preserve">C. </w:t>
      </w:r>
      <w:r>
        <w:rPr>
          <w:rFonts w:ascii="宋体" w:hAnsi="宋体" w:eastAsia="宋体" w:cs="宋体"/>
          <w:color w:val="000000"/>
        </w:rPr>
        <w:t>滩涂</w:t>
      </w:r>
      <w:r>
        <w:rPr>
          <w:color w:val="000000"/>
        </w:rPr>
        <w:tab/>
      </w:r>
      <w:r>
        <w:rPr>
          <w:color w:val="000000"/>
        </w:rPr>
        <w:t xml:space="preserve">D. </w:t>
      </w:r>
      <w:r>
        <w:rPr>
          <w:rFonts w:ascii="宋体" w:hAnsi="宋体" w:eastAsia="宋体" w:cs="宋体"/>
          <w:color w:val="000000"/>
        </w:rPr>
        <w:t>海湾</w:t>
      </w:r>
    </w:p>
    <w:p w14:paraId="7B782F86">
      <w:pPr>
        <w:spacing w:line="360" w:lineRule="auto"/>
        <w:jc w:val="left"/>
        <w:textAlignment w:val="center"/>
        <w:rPr>
          <w:color w:val="000000"/>
        </w:rPr>
      </w:pPr>
      <w:r>
        <w:rPr>
          <w:color w:val="000000"/>
        </w:rPr>
        <w:t xml:space="preserve">4. </w:t>
      </w:r>
      <w:r>
        <w:rPr>
          <w:rFonts w:ascii="宋体" w:hAnsi="宋体" w:eastAsia="宋体" w:cs="宋体"/>
          <w:color w:val="000000"/>
        </w:rPr>
        <w:t>我国海南先民精确绘制该作业线路图，主要运用了（   ）</w:t>
      </w:r>
    </w:p>
    <w:p w14:paraId="27358FC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罗盘和燃香</w:t>
      </w:r>
      <w:r>
        <w:rPr>
          <w:color w:val="000000"/>
        </w:rPr>
        <w:tab/>
      </w:r>
      <w:r>
        <w:rPr>
          <w:color w:val="000000"/>
        </w:rPr>
        <w:t xml:space="preserve">B. </w:t>
      </w:r>
      <w:r>
        <w:rPr>
          <w:rFonts w:ascii="宋体" w:hAnsi="宋体" w:eastAsia="宋体" w:cs="宋体"/>
          <w:color w:val="000000"/>
        </w:rPr>
        <w:t>罗盘和洋流</w:t>
      </w:r>
    </w:p>
    <w:p w14:paraId="4A8857D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星象和燃香</w:t>
      </w:r>
      <w:r>
        <w:rPr>
          <w:color w:val="000000"/>
        </w:rPr>
        <w:tab/>
      </w:r>
      <w:r>
        <w:rPr>
          <w:color w:val="000000"/>
        </w:rPr>
        <w:t xml:space="preserve">D. </w:t>
      </w:r>
      <w:r>
        <w:rPr>
          <w:rFonts w:ascii="宋体" w:hAnsi="宋体" w:eastAsia="宋体" w:cs="宋体"/>
          <w:color w:val="000000"/>
        </w:rPr>
        <w:t>星象和洋流</w:t>
      </w:r>
    </w:p>
    <w:p w14:paraId="2935D040">
      <w:pPr>
        <w:spacing w:line="360" w:lineRule="auto"/>
        <w:ind w:firstLine="420"/>
        <w:jc w:val="left"/>
        <w:textAlignment w:val="center"/>
        <w:rPr>
          <w:color w:val="000000"/>
        </w:rPr>
      </w:pPr>
      <w:r>
        <w:rPr>
          <w:rFonts w:ascii="楷体" w:hAnsi="楷体" w:eastAsia="楷体" w:cs="楷体"/>
          <w:color w:val="000000"/>
        </w:rPr>
        <w:t>碳纤维作为战略性新材料，重量轻，强度高。德国一汽车企业某款电动汽车采用大量碳纤维部件，其生产各环节严格遵循零碳排放理念。下图示意该企业所用碳纤维部件的纵向主要生产环节布局，其中原丝碳化环节耗能较大。据此完成下面小题。</w:t>
      </w:r>
    </w:p>
    <w:p w14:paraId="5123900D">
      <w:pPr>
        <w:spacing w:line="360" w:lineRule="auto"/>
        <w:jc w:val="left"/>
        <w:textAlignment w:val="center"/>
        <w:rPr>
          <w:color w:val="000000"/>
        </w:rPr>
      </w:pPr>
      <w:r>
        <w:rPr>
          <w:color w:val="000000"/>
        </w:rPr>
        <w:drawing>
          <wp:inline distT="0" distB="0" distL="114300" distR="114300">
            <wp:extent cx="5238750" cy="975360"/>
            <wp:effectExtent l="0" t="0" r="0" b="571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5238750" cy="975740"/>
                    </a:xfrm>
                    <a:prstGeom prst="rect">
                      <a:avLst/>
                    </a:prstGeom>
                  </pic:spPr>
                </pic:pic>
              </a:graphicData>
            </a:graphic>
          </wp:inline>
        </w:drawing>
      </w:r>
    </w:p>
    <w:p w14:paraId="7E0A043D">
      <w:pPr>
        <w:spacing w:line="360" w:lineRule="auto"/>
        <w:jc w:val="left"/>
        <w:textAlignment w:val="center"/>
        <w:rPr>
          <w:color w:val="000000"/>
        </w:rPr>
      </w:pPr>
      <w:r>
        <w:rPr>
          <w:color w:val="000000"/>
        </w:rPr>
        <w:t xml:space="preserve">5. </w:t>
      </w:r>
      <w:r>
        <w:rPr>
          <w:rFonts w:ascii="宋体" w:hAnsi="宋体" w:eastAsia="宋体" w:cs="宋体"/>
          <w:color w:val="000000"/>
        </w:rPr>
        <w:t>该企业选用在日本生产的碳纤维原丝，主要为了（   ）</w:t>
      </w:r>
    </w:p>
    <w:p w14:paraId="4BDAD331">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635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开拓销售市场</w:t>
      </w:r>
      <w:r>
        <w:rPr>
          <w:color w:val="000000"/>
        </w:rPr>
        <w:tab/>
      </w:r>
      <w:r>
        <w:rPr>
          <w:color w:val="000000"/>
        </w:rPr>
        <w:t xml:space="preserve">B. </w:t>
      </w:r>
      <w:r>
        <w:rPr>
          <w:rFonts w:ascii="宋体" w:hAnsi="宋体" w:eastAsia="宋体" w:cs="宋体"/>
          <w:color w:val="000000"/>
        </w:rPr>
        <w:t>降低原丝成本</w:t>
      </w:r>
    </w:p>
    <w:p w14:paraId="1E10514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促进合作研发</w:t>
      </w:r>
      <w:r>
        <w:rPr>
          <w:color w:val="000000"/>
        </w:rPr>
        <w:tab/>
      </w:r>
      <w:r>
        <w:rPr>
          <w:color w:val="000000"/>
        </w:rPr>
        <w:t xml:space="preserve">D. </w:t>
      </w:r>
      <w:r>
        <w:rPr>
          <w:rFonts w:ascii="宋体" w:hAnsi="宋体" w:eastAsia="宋体" w:cs="宋体"/>
          <w:color w:val="000000"/>
        </w:rPr>
        <w:t>增加战略储备</w:t>
      </w:r>
    </w:p>
    <w:p w14:paraId="40A8216E">
      <w:pPr>
        <w:spacing w:line="360" w:lineRule="auto"/>
        <w:jc w:val="left"/>
        <w:textAlignment w:val="center"/>
        <w:rPr>
          <w:color w:val="000000"/>
        </w:rPr>
      </w:pPr>
      <w:r>
        <w:rPr>
          <w:color w:val="000000"/>
        </w:rPr>
        <w:t xml:space="preserve">6. </w:t>
      </w:r>
      <w:r>
        <w:rPr>
          <w:rFonts w:ascii="宋体" w:hAnsi="宋体" w:eastAsia="宋体" w:cs="宋体"/>
          <w:color w:val="000000"/>
        </w:rPr>
        <w:t>将原丝碳化环节布局在M市，倚重了当地（   ）</w:t>
      </w:r>
    </w:p>
    <w:p w14:paraId="583671E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丰富的水能</w:t>
      </w:r>
      <w:r>
        <w:rPr>
          <w:color w:val="000000"/>
        </w:rPr>
        <w:tab/>
      </w:r>
      <w:r>
        <w:rPr>
          <w:color w:val="000000"/>
        </w:rPr>
        <w:t xml:space="preserve">B. </w:t>
      </w:r>
      <w:r>
        <w:rPr>
          <w:rFonts w:ascii="宋体" w:hAnsi="宋体" w:eastAsia="宋体" w:cs="宋体"/>
          <w:color w:val="000000"/>
        </w:rPr>
        <w:t>先进的技术</w:t>
      </w:r>
    </w:p>
    <w:p w14:paraId="562DF7B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完善</w:t>
      </w:r>
      <w:r>
        <w:rPr>
          <w:rFonts w:ascii="宋体" w:hAnsi="宋体" w:eastAsia="宋体" w:cs="宋体"/>
          <w:color w:val="000000"/>
          <w:position w:val="0"/>
        </w:rPr>
        <w:drawing>
          <wp:inline distT="0" distB="0" distL="114300" distR="114300">
            <wp:extent cx="133350" cy="1778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设施</w:t>
      </w:r>
      <w:r>
        <w:rPr>
          <w:color w:val="000000"/>
        </w:rPr>
        <w:tab/>
      </w:r>
      <w:r>
        <w:rPr>
          <w:color w:val="000000"/>
        </w:rPr>
        <w:t xml:space="preserve">D. </w:t>
      </w:r>
      <w:r>
        <w:rPr>
          <w:rFonts w:ascii="宋体" w:hAnsi="宋体" w:eastAsia="宋体" w:cs="宋体"/>
          <w:color w:val="000000"/>
        </w:rPr>
        <w:t>便利的航运</w:t>
      </w:r>
    </w:p>
    <w:p w14:paraId="0CCD42CA">
      <w:pPr>
        <w:spacing w:line="360" w:lineRule="auto"/>
        <w:ind w:firstLine="420"/>
        <w:jc w:val="left"/>
        <w:textAlignment w:val="center"/>
        <w:rPr>
          <w:color w:val="000000"/>
        </w:rPr>
      </w:pPr>
      <w:r>
        <w:rPr>
          <w:rFonts w:ascii="楷体" w:hAnsi="楷体" w:eastAsia="楷体" w:cs="楷体"/>
          <w:color w:val="000000"/>
        </w:rPr>
        <w:t>晋北山区一煤矿地处某河流源头汇水区，因煤质高硫、污染严重被关闭。关闭后遗留较大采空区，致地表产生塌陷坑。当地利用碎石、煤矸石等充填采空区，使地表基本稳定，但采空区积水污染物超标，威胁水环境安全（下图）。近年来，当地贯彻“绿水青山就是金山银山”理念，进一步实施了回填塌陷坑，封堵地裂缝和修建污水处理设施等治理工程，生态环境明显好转。据此完成下面小题。</w:t>
      </w:r>
    </w:p>
    <w:p w14:paraId="2FC30AE3">
      <w:pPr>
        <w:spacing w:line="360" w:lineRule="auto"/>
        <w:jc w:val="left"/>
        <w:textAlignment w:val="center"/>
        <w:rPr>
          <w:color w:val="000000"/>
        </w:rPr>
      </w:pPr>
      <w:r>
        <w:rPr>
          <w:color w:val="000000"/>
        </w:rPr>
        <w:drawing>
          <wp:inline distT="0" distB="0" distL="114300" distR="114300">
            <wp:extent cx="4591050" cy="21240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591050" cy="2124075"/>
                    </a:xfrm>
                    <a:prstGeom prst="rect">
                      <a:avLst/>
                    </a:prstGeom>
                  </pic:spPr>
                </pic:pic>
              </a:graphicData>
            </a:graphic>
          </wp:inline>
        </w:drawing>
      </w:r>
    </w:p>
    <w:p w14:paraId="022F9384">
      <w:pPr>
        <w:spacing w:line="360" w:lineRule="auto"/>
        <w:jc w:val="left"/>
        <w:textAlignment w:val="center"/>
        <w:rPr>
          <w:color w:val="000000"/>
        </w:rPr>
      </w:pPr>
      <w:r>
        <w:rPr>
          <w:color w:val="000000"/>
        </w:rPr>
        <w:t xml:space="preserve">7. </w:t>
      </w:r>
      <w:r>
        <w:rPr>
          <w:rFonts w:ascii="宋体" w:hAnsi="宋体" w:eastAsia="宋体" w:cs="宋体"/>
          <w:color w:val="000000"/>
        </w:rPr>
        <w:t>采空区积水中污染物的主要来源是（   ）</w:t>
      </w:r>
    </w:p>
    <w:p w14:paraId="1E03BFD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地表污染物</w:t>
      </w:r>
      <w:r>
        <w:rPr>
          <w:color w:val="000000"/>
        </w:rPr>
        <w:tab/>
      </w:r>
      <w:r>
        <w:rPr>
          <w:color w:val="000000"/>
        </w:rPr>
        <w:t xml:space="preserve">B. </w:t>
      </w:r>
      <w:r>
        <w:rPr>
          <w:rFonts w:ascii="宋体" w:hAnsi="宋体" w:eastAsia="宋体" w:cs="宋体"/>
          <w:color w:val="000000"/>
        </w:rPr>
        <w:t>上覆透水层</w:t>
      </w:r>
    </w:p>
    <w:p w14:paraId="35B7665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顶板坍塌物</w:t>
      </w:r>
      <w:r>
        <w:rPr>
          <w:color w:val="000000"/>
        </w:rPr>
        <w:tab/>
      </w:r>
      <w:r>
        <w:rPr>
          <w:color w:val="000000"/>
        </w:rPr>
        <w:t xml:space="preserve">D. </w:t>
      </w:r>
      <w:r>
        <w:rPr>
          <w:rFonts w:ascii="宋体" w:hAnsi="宋体" w:eastAsia="宋体" w:cs="宋体"/>
          <w:color w:val="000000"/>
        </w:rPr>
        <w:t>煤及煤矸石</w:t>
      </w:r>
    </w:p>
    <w:p w14:paraId="60D22171">
      <w:pPr>
        <w:spacing w:line="360" w:lineRule="auto"/>
        <w:jc w:val="left"/>
        <w:textAlignment w:val="center"/>
        <w:rPr>
          <w:color w:val="000000"/>
        </w:rPr>
      </w:pPr>
      <w:r>
        <w:rPr>
          <w:color w:val="000000"/>
        </w:rPr>
        <w:t xml:space="preserve">8. </w:t>
      </w:r>
      <w:r>
        <w:rPr>
          <w:rFonts w:ascii="宋体" w:hAnsi="宋体" w:eastAsia="宋体" w:cs="宋体"/>
          <w:color w:val="000000"/>
        </w:rPr>
        <w:t>回填坍塌坑、封堵地裂缝主要是为了防止（   ）</w:t>
      </w:r>
    </w:p>
    <w:p w14:paraId="02D8AE9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地表再塌陷</w:t>
      </w:r>
      <w:r>
        <w:rPr>
          <w:color w:val="000000"/>
        </w:rPr>
        <w:tab/>
      </w:r>
      <w:r>
        <w:rPr>
          <w:color w:val="000000"/>
        </w:rPr>
        <w:t xml:space="preserve">B. </w:t>
      </w:r>
      <w:r>
        <w:rPr>
          <w:rFonts w:ascii="宋体" w:hAnsi="宋体" w:eastAsia="宋体" w:cs="宋体"/>
          <w:color w:val="000000"/>
        </w:rPr>
        <w:t>裂缝持续扩大</w:t>
      </w:r>
    </w:p>
    <w:p w14:paraId="2DF6EA1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地表水下渗</w:t>
      </w:r>
      <w:r>
        <w:rPr>
          <w:color w:val="000000"/>
        </w:rPr>
        <w:tab/>
      </w:r>
      <w:r>
        <w:rPr>
          <w:color w:val="000000"/>
        </w:rPr>
        <w:t xml:space="preserve">D. </w:t>
      </w:r>
      <w:r>
        <w:rPr>
          <w:rFonts w:ascii="宋体" w:hAnsi="宋体" w:eastAsia="宋体" w:cs="宋体"/>
          <w:color w:val="000000"/>
        </w:rPr>
        <w:t>地表植被破坏</w:t>
      </w:r>
    </w:p>
    <w:p w14:paraId="07E16585">
      <w:pPr>
        <w:spacing w:line="360" w:lineRule="auto"/>
        <w:jc w:val="left"/>
        <w:textAlignment w:val="center"/>
        <w:rPr>
          <w:color w:val="000000"/>
        </w:rPr>
      </w:pPr>
      <w:r>
        <w:rPr>
          <w:color w:val="000000"/>
        </w:rPr>
        <w:t xml:space="preserve">9. </w:t>
      </w:r>
      <w:r>
        <w:rPr>
          <w:rFonts w:ascii="宋体" w:hAnsi="宋体" w:eastAsia="宋体" w:cs="宋体"/>
          <w:color w:val="000000"/>
        </w:rPr>
        <w:t>为防患于未然，新矿山开发首先应做好（   ）</w:t>
      </w:r>
    </w:p>
    <w:p w14:paraId="62BBD4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生态环境修复</w:t>
      </w:r>
      <w:r>
        <w:rPr>
          <w:color w:val="000000"/>
        </w:rPr>
        <w:tab/>
      </w:r>
      <w:r>
        <w:rPr>
          <w:color w:val="000000"/>
        </w:rPr>
        <w:t xml:space="preserve">B. </w:t>
      </w:r>
      <w:r>
        <w:rPr>
          <w:rFonts w:ascii="宋体" w:hAnsi="宋体" w:eastAsia="宋体" w:cs="宋体"/>
          <w:color w:val="000000"/>
        </w:rPr>
        <w:t>智能开采设计</w:t>
      </w:r>
    </w:p>
    <w:p w14:paraId="5001A58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矿山安全监测</w:t>
      </w:r>
      <w:r>
        <w:rPr>
          <w:color w:val="000000"/>
        </w:rPr>
        <w:tab/>
      </w:r>
      <w:r>
        <w:rPr>
          <w:color w:val="000000"/>
        </w:rPr>
        <w:t xml:space="preserve">D. </w:t>
      </w:r>
      <w:r>
        <w:rPr>
          <w:rFonts w:ascii="宋体" w:hAnsi="宋体" w:eastAsia="宋体" w:cs="宋体"/>
          <w:color w:val="000000"/>
        </w:rPr>
        <w:t>资源环境评价</w:t>
      </w:r>
    </w:p>
    <w:p w14:paraId="45E2A3D8">
      <w:pPr>
        <w:spacing w:line="360" w:lineRule="auto"/>
        <w:ind w:firstLine="420"/>
        <w:jc w:val="left"/>
        <w:textAlignment w:val="center"/>
        <w:rPr>
          <w:color w:val="000000"/>
        </w:rPr>
      </w:pPr>
      <w:r>
        <w:rPr>
          <w:rFonts w:ascii="楷体" w:hAnsi="楷体" w:eastAsia="楷体" w:cs="楷体"/>
          <w:color w:val="000000"/>
        </w:rPr>
        <w:t>海水温度分布状况影响大气环流，对天气系统和长期气候变化有着重要影响。下图为某年赤道附近（5°S-5° N）部分海域海表温度距平时间-经度剖面（单位：℃）。据此完成下面小题。</w:t>
      </w:r>
    </w:p>
    <w:p w14:paraId="6717D9B4">
      <w:pPr>
        <w:spacing w:line="360" w:lineRule="auto"/>
        <w:jc w:val="left"/>
        <w:textAlignment w:val="center"/>
        <w:rPr>
          <w:color w:val="000000"/>
        </w:rPr>
      </w:pPr>
      <w:r>
        <w:rPr>
          <w:color w:val="000000"/>
        </w:rPr>
        <w:drawing>
          <wp:inline distT="0" distB="0" distL="114300" distR="114300">
            <wp:extent cx="3457575" cy="27527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457575" cy="2752725"/>
                    </a:xfrm>
                    <a:prstGeom prst="rect">
                      <a:avLst/>
                    </a:prstGeom>
                  </pic:spPr>
                </pic:pic>
              </a:graphicData>
            </a:graphic>
          </wp:inline>
        </w:drawing>
      </w:r>
    </w:p>
    <w:p w14:paraId="7777BCB1">
      <w:pPr>
        <w:spacing w:line="360" w:lineRule="auto"/>
        <w:jc w:val="left"/>
        <w:textAlignment w:val="center"/>
        <w:rPr>
          <w:color w:val="000000"/>
        </w:rPr>
      </w:pPr>
      <w:r>
        <w:rPr>
          <w:color w:val="000000"/>
        </w:rPr>
        <w:t xml:space="preserve">10. </w:t>
      </w:r>
      <w:r>
        <w:rPr>
          <w:rFonts w:ascii="宋体" w:hAnsi="宋体" w:eastAsia="宋体" w:cs="宋体"/>
          <w:color w:val="000000"/>
        </w:rPr>
        <w:t>上图反映该年赤道附近中、东太平洋出现（   ）</w:t>
      </w:r>
    </w:p>
    <w:p w14:paraId="2280943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厄尔尼诺现象</w:t>
      </w:r>
      <w:r>
        <w:rPr>
          <w:color w:val="000000"/>
        </w:rPr>
        <w:tab/>
      </w:r>
      <w:r>
        <w:rPr>
          <w:color w:val="000000"/>
        </w:rPr>
        <w:t xml:space="preserve">B. </w:t>
      </w:r>
      <w:r>
        <w:rPr>
          <w:rFonts w:ascii="宋体" w:hAnsi="宋体" w:eastAsia="宋体" w:cs="宋体"/>
          <w:color w:val="000000"/>
        </w:rPr>
        <w:t>厄尔尼诺现象一拉尼娜现象</w:t>
      </w:r>
    </w:p>
    <w:p w14:paraId="39F5711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拉尼娜现象</w:t>
      </w:r>
      <w:r>
        <w:rPr>
          <w:color w:val="000000"/>
        </w:rPr>
        <w:tab/>
      </w:r>
      <w:r>
        <w:rPr>
          <w:color w:val="000000"/>
        </w:rPr>
        <w:t xml:space="preserve">D. </w:t>
      </w:r>
      <w:r>
        <w:rPr>
          <w:rFonts w:ascii="宋体" w:hAnsi="宋体" w:eastAsia="宋体" w:cs="宋体"/>
          <w:color w:val="000000"/>
        </w:rPr>
        <w:t>拉尼娜现象→厄尔尼诺现象</w:t>
      </w:r>
    </w:p>
    <w:p w14:paraId="44BFF179">
      <w:pPr>
        <w:spacing w:line="360" w:lineRule="auto"/>
        <w:jc w:val="left"/>
        <w:textAlignment w:val="center"/>
        <w:rPr>
          <w:color w:val="000000"/>
        </w:rPr>
      </w:pPr>
      <w:r>
        <w:rPr>
          <w:color w:val="000000"/>
        </w:rPr>
        <w:t xml:space="preserve">11. </w:t>
      </w:r>
      <w:r>
        <w:rPr>
          <w:rFonts w:ascii="宋体" w:hAnsi="宋体" w:eastAsia="宋体" w:cs="宋体"/>
          <w:color w:val="000000"/>
        </w:rPr>
        <w:t>赤道附近中、东太平洋此现象发生时，易出现（   ）</w:t>
      </w:r>
    </w:p>
    <w:p w14:paraId="178F8CA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西北太平洋副热带高压减弱</w:t>
      </w:r>
      <w:r>
        <w:rPr>
          <w:color w:val="000000"/>
        </w:rPr>
        <w:tab/>
      </w:r>
      <w:r>
        <w:rPr>
          <w:color w:val="000000"/>
        </w:rPr>
        <w:t xml:space="preserve">B. </w:t>
      </w:r>
      <w:r>
        <w:rPr>
          <w:rFonts w:ascii="宋体" w:hAnsi="宋体" w:eastAsia="宋体" w:cs="宋体"/>
          <w:color w:val="000000"/>
        </w:rPr>
        <w:t>中国沿海海平面偏高</w:t>
      </w:r>
    </w:p>
    <w:p w14:paraId="3C86407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秘鲁沿岸积云对流活动增强</w:t>
      </w:r>
      <w:r>
        <w:rPr>
          <w:color w:val="000000"/>
        </w:rPr>
        <w:tab/>
      </w:r>
      <w:r>
        <w:rPr>
          <w:color w:val="000000"/>
        </w:rPr>
        <w:t xml:space="preserve">D. </w:t>
      </w:r>
      <w:r>
        <w:rPr>
          <w:rFonts w:ascii="宋体" w:hAnsi="宋体" w:eastAsia="宋体" w:cs="宋体"/>
          <w:color w:val="000000"/>
        </w:rPr>
        <w:t>菲律宾野火灾害偏多</w:t>
      </w:r>
    </w:p>
    <w:p w14:paraId="29B86249">
      <w:pPr>
        <w:spacing w:line="360" w:lineRule="auto"/>
        <w:ind w:firstLine="420"/>
        <w:jc w:val="left"/>
        <w:textAlignment w:val="center"/>
        <w:rPr>
          <w:color w:val="000000"/>
        </w:rPr>
      </w:pPr>
      <w:r>
        <w:rPr>
          <w:rFonts w:ascii="楷体" w:hAnsi="楷体" w:eastAsia="楷体" w:cs="楷体"/>
          <w:color w:val="000000"/>
        </w:rPr>
        <w:t>人口年龄结构三角图适合刻画国家人口结构的演变路径。三角图中的点坐标记作（C，L，A），C、L、A分别表示少儿、劳动力和老年人的人口比重，且C+L+A=100%，如下图a点P所示。任意点0的运动方向含义如左图所示。图b描述了1966-2020年我国人口年龄结构演变路径。据此完成下面小题。</w:t>
      </w:r>
    </w:p>
    <w:p w14:paraId="6673D6D6">
      <w:pPr>
        <w:spacing w:line="360" w:lineRule="auto"/>
        <w:jc w:val="left"/>
        <w:textAlignment w:val="center"/>
        <w:rPr>
          <w:color w:val="000000"/>
        </w:rPr>
      </w:pPr>
      <w:r>
        <w:rPr>
          <w:color w:val="000000"/>
        </w:rPr>
        <w:drawing>
          <wp:inline distT="0" distB="0" distL="114300" distR="114300">
            <wp:extent cx="5010150" cy="23717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010150" cy="2371725"/>
                    </a:xfrm>
                    <a:prstGeom prst="rect">
                      <a:avLst/>
                    </a:prstGeom>
                  </pic:spPr>
                </pic:pic>
              </a:graphicData>
            </a:graphic>
          </wp:inline>
        </w:drawing>
      </w:r>
    </w:p>
    <w:p w14:paraId="0FD2F5EF">
      <w:pPr>
        <w:spacing w:line="360" w:lineRule="auto"/>
        <w:jc w:val="left"/>
        <w:textAlignment w:val="center"/>
        <w:rPr>
          <w:color w:val="000000"/>
        </w:rPr>
      </w:pPr>
      <w:r>
        <w:rPr>
          <w:color w:val="000000"/>
        </w:rPr>
        <w:t xml:space="preserve">12. </w:t>
      </w:r>
      <w:r>
        <w:rPr>
          <w:rFonts w:ascii="宋体" w:hAnsi="宋体" w:eastAsia="宋体" w:cs="宋体"/>
          <w:color w:val="000000"/>
        </w:rPr>
        <w:t>1966-1982年，我国人口年龄结构演变呈现出</w:t>
      </w:r>
      <w:r>
        <w:rPr>
          <w:rFonts w:ascii="宋体" w:hAnsi="宋体" w:eastAsia="宋体" w:cs="宋体"/>
          <w:color w:val="000000"/>
          <w:position w:val="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显著特征为劳动力比重（％）（   ）</w:t>
      </w:r>
    </w:p>
    <w:p w14:paraId="66F5348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少子化、红利化</w:t>
      </w:r>
      <w:r>
        <w:rPr>
          <w:color w:val="000000"/>
        </w:rPr>
        <w:tab/>
      </w:r>
      <w:r>
        <w:rPr>
          <w:color w:val="000000"/>
        </w:rPr>
        <w:t xml:space="preserve">B. </w:t>
      </w:r>
      <w:r>
        <w:rPr>
          <w:rFonts w:ascii="宋体" w:hAnsi="宋体" w:eastAsia="宋体" w:cs="宋体"/>
          <w:color w:val="000000"/>
        </w:rPr>
        <w:t>多子化、年轻化</w:t>
      </w:r>
    </w:p>
    <w:p w14:paraId="21DB8DB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少子化、老龄化</w:t>
      </w:r>
      <w:r>
        <w:rPr>
          <w:color w:val="000000"/>
        </w:rPr>
        <w:tab/>
      </w:r>
      <w:r>
        <w:rPr>
          <w:color w:val="000000"/>
        </w:rPr>
        <w:t xml:space="preserve">D. </w:t>
      </w:r>
      <w:r>
        <w:rPr>
          <w:rFonts w:ascii="宋体" w:hAnsi="宋体" w:eastAsia="宋体" w:cs="宋体"/>
          <w:color w:val="000000"/>
        </w:rPr>
        <w:t>红利化、年轻化</w:t>
      </w:r>
    </w:p>
    <w:p w14:paraId="5159F5A4">
      <w:pPr>
        <w:spacing w:line="360" w:lineRule="auto"/>
        <w:jc w:val="left"/>
        <w:textAlignment w:val="center"/>
        <w:rPr>
          <w:color w:val="000000"/>
        </w:rPr>
      </w:pPr>
      <w:r>
        <w:rPr>
          <w:color w:val="000000"/>
        </w:rPr>
        <w:t xml:space="preserve">13. </w:t>
      </w:r>
      <w:r>
        <w:rPr>
          <w:rFonts w:ascii="宋体" w:hAnsi="宋体" w:eastAsia="宋体" w:cs="宋体"/>
          <w:color w:val="000000"/>
        </w:rPr>
        <w:t>假设自2020年到2100年，我国总和生育率（相当于育龄妇女平均的终身可能生育数）由1.3逐步提升到2.1，人口预期寿命由78岁逐步提升到85岁，那么我国人口年龄结构演变趋势如右图中（   ）</w:t>
      </w:r>
    </w:p>
    <w:p w14:paraId="4D63A4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w:t>
      </w:r>
      <w:r>
        <w:rPr>
          <w:color w:val="000000"/>
        </w:rPr>
        <w:tab/>
      </w:r>
      <w:r>
        <w:rPr>
          <w:color w:val="000000"/>
        </w:rPr>
        <w:t xml:space="preserve">B. </w:t>
      </w:r>
      <w:r>
        <w:rPr>
          <w:rFonts w:ascii="宋体" w:hAnsi="宋体" w:eastAsia="宋体" w:cs="宋体"/>
          <w:color w:val="000000"/>
        </w:rPr>
        <w:t>②</w:t>
      </w:r>
      <w:r>
        <w:rPr>
          <w:color w:val="000000"/>
        </w:rPr>
        <w:tab/>
      </w:r>
      <w:r>
        <w:rPr>
          <w:color w:val="000000"/>
        </w:rPr>
        <w:t xml:space="preserve">C. </w:t>
      </w:r>
      <w:r>
        <w:rPr>
          <w:rFonts w:ascii="宋体" w:hAnsi="宋体" w:eastAsia="宋体" w:cs="宋体"/>
          <w:color w:val="000000"/>
        </w:rPr>
        <w:t>③</w:t>
      </w:r>
      <w:r>
        <w:rPr>
          <w:color w:val="000000"/>
        </w:rPr>
        <w:tab/>
      </w:r>
      <w:r>
        <w:rPr>
          <w:color w:val="000000"/>
        </w:rPr>
        <w:t xml:space="preserve">D. </w:t>
      </w:r>
      <w:r>
        <w:rPr>
          <w:rFonts w:ascii="宋体" w:hAnsi="宋体" w:eastAsia="宋体" w:cs="宋体"/>
          <w:color w:val="000000"/>
        </w:rPr>
        <w:t>④</w:t>
      </w:r>
    </w:p>
    <w:p w14:paraId="1C892A1A">
      <w:pPr>
        <w:spacing w:line="360" w:lineRule="auto"/>
        <w:jc w:val="left"/>
        <w:textAlignment w:val="center"/>
        <w:rPr>
          <w:color w:val="000000"/>
        </w:rPr>
      </w:pPr>
      <w:r>
        <w:rPr>
          <w:rFonts w:ascii="宋体" w:hAnsi="宋体" w:eastAsia="宋体" w:cs="宋体"/>
          <w:b/>
          <w:color w:val="000000"/>
          <w:sz w:val="24"/>
        </w:rPr>
        <w:t>二、非选择题：本题共 3道题，共52分。</w:t>
      </w:r>
    </w:p>
    <w:p w14:paraId="78FF3470">
      <w:pPr>
        <w:spacing w:line="360" w:lineRule="auto"/>
        <w:jc w:val="left"/>
        <w:textAlignment w:val="center"/>
        <w:rPr>
          <w:color w:val="000000"/>
        </w:rPr>
      </w:pPr>
      <w:r>
        <w:rPr>
          <w:color w:val="000000"/>
        </w:rPr>
        <w:t xml:space="preserve">14. </w:t>
      </w:r>
      <w:r>
        <w:rPr>
          <w:rFonts w:ascii="宋体" w:hAnsi="宋体" w:eastAsia="宋体" w:cs="宋体"/>
          <w:color w:val="000000"/>
        </w:rPr>
        <w:t>阅读图文材料，完成下列要求。</w:t>
      </w:r>
    </w:p>
    <w:p w14:paraId="2EA85B42">
      <w:pPr>
        <w:spacing w:line="360" w:lineRule="auto"/>
        <w:ind w:firstLine="420"/>
        <w:jc w:val="left"/>
        <w:textAlignment w:val="center"/>
        <w:rPr>
          <w:color w:val="000000"/>
        </w:rPr>
      </w:pPr>
      <w:r>
        <w:rPr>
          <w:rFonts w:ascii="楷体" w:hAnsi="楷体" w:eastAsia="楷体" w:cs="楷体"/>
          <w:color w:val="000000"/>
        </w:rPr>
        <w:t>中国境内的阿尔泰山（下图阴影部分）绵延约500千米，最高峰为友谊峰，自西北向东南山体逐渐降低。晚更新世以来，受该山区雪线上升影响，第四纪不同时期冰川作用产生的冰斗、槽谷汇聚冰雪融水利大气降水，形成众多冰湖。在气候转暖、年降水量变幅较小背景下，1992-2013年山地各区域冰湖数量科面积均发生了变化（下表1和表2）。</w:t>
      </w:r>
    </w:p>
    <w:p w14:paraId="02EE2A4D">
      <w:pPr>
        <w:spacing w:line="360" w:lineRule="auto"/>
        <w:jc w:val="left"/>
        <w:textAlignment w:val="center"/>
        <w:rPr>
          <w:color w:val="000000"/>
        </w:rPr>
      </w:pPr>
      <w:r>
        <w:rPr>
          <w:color w:val="000000"/>
        </w:rPr>
        <w:drawing>
          <wp:inline distT="0" distB="0" distL="114300" distR="114300">
            <wp:extent cx="5238750" cy="3221990"/>
            <wp:effectExtent l="0" t="0" r="0" b="698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5238750" cy="3222010"/>
                    </a:xfrm>
                    <a:prstGeom prst="rect">
                      <a:avLst/>
                    </a:prstGeom>
                  </pic:spPr>
                </pic:pic>
              </a:graphicData>
            </a:graphic>
          </wp:inline>
        </w:drawing>
      </w:r>
    </w:p>
    <w:p w14:paraId="7AD15D9D">
      <w:pPr>
        <w:spacing w:line="360" w:lineRule="auto"/>
        <w:ind w:firstLine="420"/>
        <w:jc w:val="left"/>
        <w:textAlignment w:val="center"/>
        <w:rPr>
          <w:color w:val="000000"/>
        </w:rPr>
      </w:pPr>
      <w:r>
        <w:rPr>
          <w:rFonts w:ascii="楷体" w:hAnsi="楷体" w:eastAsia="楷体" w:cs="楷体"/>
          <w:color w:val="000000"/>
        </w:rPr>
        <w:t>表1：</w:t>
      </w:r>
    </w:p>
    <w:tbl>
      <w:tblPr>
        <w:tblStyle w:val="4"/>
        <w:tblW w:w="42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08"/>
        <w:gridCol w:w="967"/>
        <w:gridCol w:w="1076"/>
        <w:gridCol w:w="1139"/>
      </w:tblGrid>
      <w:tr w14:paraId="65E143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E663E7">
            <w:pPr>
              <w:spacing w:line="360" w:lineRule="auto"/>
              <w:jc w:val="left"/>
              <w:textAlignment w:val="center"/>
              <w:rPr>
                <w:color w:val="000000"/>
              </w:rPr>
            </w:pPr>
            <w:r>
              <w:rPr>
                <w:rFonts w:ascii="宋体" w:hAnsi="宋体" w:eastAsia="宋体" w:cs="宋体"/>
                <w:color w:val="000000"/>
              </w:rPr>
              <w:t>流域</w:t>
            </w:r>
          </w:p>
        </w:tc>
        <w:tc>
          <w:tcPr>
            <w:tcW w:w="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611628">
            <w:pPr>
              <w:spacing w:line="360" w:lineRule="auto"/>
              <w:jc w:val="left"/>
              <w:textAlignment w:val="center"/>
              <w:rPr>
                <w:color w:val="000000"/>
              </w:rPr>
            </w:pPr>
            <w:r>
              <w:rPr>
                <w:rFonts w:ascii="宋体" w:hAnsi="宋体" w:eastAsia="宋体" w:cs="宋体"/>
                <w:color w:val="000000"/>
              </w:rPr>
              <w:t>区位</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896FDE">
            <w:pPr>
              <w:spacing w:line="360" w:lineRule="auto"/>
              <w:jc w:val="left"/>
              <w:textAlignment w:val="center"/>
              <w:rPr>
                <w:color w:val="000000"/>
              </w:rPr>
            </w:pPr>
            <w:r>
              <w:rPr>
                <w:rFonts w:ascii="宋体" w:hAnsi="宋体" w:eastAsia="宋体" w:cs="宋体"/>
                <w:color w:val="000000"/>
              </w:rPr>
              <w:t>年份</w:t>
            </w:r>
          </w:p>
        </w:tc>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396B4">
            <w:pPr>
              <w:spacing w:line="360" w:lineRule="auto"/>
              <w:jc w:val="left"/>
              <w:textAlignment w:val="center"/>
              <w:rPr>
                <w:color w:val="000000"/>
              </w:rPr>
            </w:pPr>
            <w:r>
              <w:rPr>
                <w:rFonts w:ascii="宋体" w:hAnsi="宋体" w:eastAsia="宋体" w:cs="宋体"/>
                <w:color w:val="000000"/>
              </w:rPr>
              <w:t>冰湖个数</w:t>
            </w:r>
          </w:p>
        </w:tc>
      </w:tr>
      <w:tr w14:paraId="3A5603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6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644DBA">
            <w:pPr>
              <w:spacing w:line="360" w:lineRule="auto"/>
              <w:jc w:val="left"/>
              <w:textAlignment w:val="center"/>
              <w:rPr>
                <w:color w:val="000000"/>
              </w:rPr>
            </w:pPr>
            <w:r>
              <w:rPr>
                <w:rFonts w:ascii="宋体" w:hAnsi="宋体" w:eastAsia="宋体" w:cs="宋体"/>
                <w:color w:val="000000"/>
              </w:rPr>
              <w:t>I Ⅱ Ⅲ</w:t>
            </w:r>
          </w:p>
        </w:tc>
        <w:tc>
          <w:tcPr>
            <w:tcW w:w="93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887285">
            <w:pPr>
              <w:spacing w:line="360" w:lineRule="auto"/>
              <w:jc w:val="left"/>
              <w:textAlignment w:val="center"/>
              <w:rPr>
                <w:color w:val="000000"/>
              </w:rPr>
            </w:pPr>
            <w:r>
              <w:rPr>
                <w:rFonts w:ascii="宋体" w:hAnsi="宋体" w:eastAsia="宋体" w:cs="宋体"/>
                <w:color w:val="000000"/>
              </w:rPr>
              <w:t>西北部</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1FC5D8">
            <w:pPr>
              <w:spacing w:line="360" w:lineRule="auto"/>
              <w:jc w:val="left"/>
              <w:textAlignment w:val="center"/>
              <w:rPr>
                <w:color w:val="000000"/>
              </w:rPr>
            </w:pPr>
            <w:r>
              <w:rPr>
                <w:rFonts w:ascii="宋体" w:hAnsi="宋体" w:eastAsia="宋体" w:cs="宋体"/>
                <w:color w:val="000000"/>
              </w:rPr>
              <w:t>1992年</w:t>
            </w:r>
          </w:p>
        </w:tc>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8483318">
            <w:pPr>
              <w:spacing w:line="360" w:lineRule="auto"/>
              <w:jc w:val="left"/>
              <w:textAlignment w:val="center"/>
              <w:rPr>
                <w:color w:val="000000"/>
              </w:rPr>
            </w:pPr>
            <w:r>
              <w:rPr>
                <w:rFonts w:ascii="宋体" w:hAnsi="宋体" w:eastAsia="宋体" w:cs="宋体"/>
                <w:color w:val="000000"/>
              </w:rPr>
              <w:t>700~800</w:t>
            </w:r>
          </w:p>
        </w:tc>
      </w:tr>
      <w:tr w14:paraId="339054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5723DFED">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5BC7D983">
            <w:pPr>
              <w:spacing w:line="360" w:lineRule="auto"/>
              <w:ind w:firstLine="420"/>
              <w:jc w:val="left"/>
              <w:textAlignment w:val="center"/>
              <w:rPr>
                <w:color w:val="000000"/>
              </w:rPr>
            </w:pP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99268F">
            <w:pPr>
              <w:spacing w:line="360" w:lineRule="auto"/>
              <w:jc w:val="left"/>
              <w:textAlignment w:val="center"/>
              <w:rPr>
                <w:color w:val="000000"/>
              </w:rPr>
            </w:pPr>
            <w:r>
              <w:rPr>
                <w:rFonts w:ascii="宋体" w:hAnsi="宋体" w:eastAsia="宋体" w:cs="宋体"/>
                <w:color w:val="000000"/>
              </w:rPr>
              <w:t>2013年</w:t>
            </w:r>
          </w:p>
        </w:tc>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6C986F8">
            <w:pPr>
              <w:spacing w:line="360" w:lineRule="auto"/>
              <w:jc w:val="left"/>
              <w:textAlignment w:val="center"/>
              <w:rPr>
                <w:color w:val="000000"/>
              </w:rPr>
            </w:pPr>
            <w:r>
              <w:rPr>
                <w:rFonts w:ascii="宋体" w:hAnsi="宋体" w:eastAsia="宋体" w:cs="宋体"/>
                <w:color w:val="000000"/>
              </w:rPr>
              <w:t>800~900</w:t>
            </w:r>
          </w:p>
        </w:tc>
      </w:tr>
      <w:tr w14:paraId="6ADB2A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06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20B654">
            <w:pPr>
              <w:spacing w:line="360" w:lineRule="auto"/>
              <w:jc w:val="left"/>
              <w:textAlignment w:val="center"/>
              <w:rPr>
                <w:color w:val="000000"/>
              </w:rPr>
            </w:pPr>
            <w:r>
              <w:rPr>
                <w:rFonts w:ascii="宋体" w:hAnsi="宋体" w:eastAsia="宋体" w:cs="宋体"/>
                <w:color w:val="000000"/>
              </w:rPr>
              <w:t>IV V VI</w:t>
            </w:r>
          </w:p>
        </w:tc>
        <w:tc>
          <w:tcPr>
            <w:tcW w:w="93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D662250">
            <w:pPr>
              <w:spacing w:line="360" w:lineRule="auto"/>
              <w:jc w:val="left"/>
              <w:textAlignment w:val="center"/>
              <w:rPr>
                <w:color w:val="000000"/>
              </w:rPr>
            </w:pPr>
            <w:r>
              <w:rPr>
                <w:rFonts w:ascii="宋体" w:hAnsi="宋体" w:eastAsia="宋体" w:cs="宋体"/>
                <w:color w:val="000000"/>
              </w:rPr>
              <w:t>东南部</w:t>
            </w: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CB5C0D">
            <w:pPr>
              <w:spacing w:line="360" w:lineRule="auto"/>
              <w:jc w:val="left"/>
              <w:textAlignment w:val="center"/>
              <w:rPr>
                <w:color w:val="000000"/>
              </w:rPr>
            </w:pPr>
            <w:r>
              <w:rPr>
                <w:rFonts w:ascii="宋体" w:hAnsi="宋体" w:eastAsia="宋体" w:cs="宋体"/>
                <w:color w:val="000000"/>
              </w:rPr>
              <w:t>1992年</w:t>
            </w:r>
          </w:p>
        </w:tc>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5F7447">
            <w:pPr>
              <w:spacing w:line="360" w:lineRule="auto"/>
              <w:jc w:val="left"/>
              <w:textAlignment w:val="center"/>
              <w:rPr>
                <w:color w:val="000000"/>
              </w:rPr>
            </w:pPr>
            <w:r>
              <w:rPr>
                <w:rFonts w:ascii="宋体" w:hAnsi="宋体" w:eastAsia="宋体" w:cs="宋体"/>
                <w:color w:val="000000"/>
              </w:rPr>
              <w:t>100~200</w:t>
            </w:r>
          </w:p>
        </w:tc>
      </w:tr>
      <w:tr w14:paraId="08178E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4473C7E">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1AE4B0D0">
            <w:pPr>
              <w:spacing w:line="360" w:lineRule="auto"/>
              <w:ind w:firstLine="420"/>
              <w:jc w:val="left"/>
              <w:textAlignment w:val="center"/>
              <w:rPr>
                <w:color w:val="000000"/>
              </w:rPr>
            </w:pPr>
          </w:p>
        </w:tc>
        <w:tc>
          <w:tcPr>
            <w:tcW w:w="103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6CC84D2">
            <w:pPr>
              <w:spacing w:line="360" w:lineRule="auto"/>
              <w:jc w:val="left"/>
              <w:textAlignment w:val="center"/>
              <w:rPr>
                <w:color w:val="000000"/>
              </w:rPr>
            </w:pPr>
            <w:r>
              <w:rPr>
                <w:rFonts w:ascii="宋体" w:hAnsi="宋体" w:eastAsia="宋体" w:cs="宋体"/>
                <w:color w:val="000000"/>
              </w:rPr>
              <w:t>2013年</w:t>
            </w:r>
          </w:p>
        </w:tc>
        <w:tc>
          <w:tcPr>
            <w:tcW w:w="10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259C41">
            <w:pPr>
              <w:spacing w:line="360" w:lineRule="auto"/>
              <w:jc w:val="left"/>
              <w:textAlignment w:val="center"/>
              <w:rPr>
                <w:color w:val="000000"/>
              </w:rPr>
            </w:pPr>
            <w:r>
              <w:rPr>
                <w:rFonts w:ascii="宋体" w:hAnsi="宋体" w:eastAsia="宋体" w:cs="宋体"/>
                <w:color w:val="000000"/>
              </w:rPr>
              <w:t>200~300</w:t>
            </w:r>
          </w:p>
        </w:tc>
      </w:tr>
    </w:tbl>
    <w:p w14:paraId="5467BF5D">
      <w:pPr>
        <w:spacing w:line="360" w:lineRule="auto"/>
        <w:ind w:firstLine="420"/>
        <w:jc w:val="left"/>
        <w:textAlignment w:val="center"/>
        <w:rPr>
          <w:color w:val="000000"/>
        </w:rPr>
      </w:pPr>
      <w:r>
        <w:rPr>
          <w:rFonts w:ascii="楷体" w:hAnsi="楷体" w:eastAsia="楷体" w:cs="楷体"/>
          <w:color w:val="000000"/>
        </w:rPr>
        <w:t>表2</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17"/>
        <w:gridCol w:w="2217"/>
        <w:gridCol w:w="1658"/>
        <w:gridCol w:w="1404"/>
        <w:gridCol w:w="1929"/>
      </w:tblGrid>
      <w:tr w14:paraId="45780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24CFBD">
            <w:pPr>
              <w:spacing w:line="360" w:lineRule="auto"/>
              <w:jc w:val="left"/>
              <w:textAlignment w:val="center"/>
              <w:rPr>
                <w:color w:val="000000"/>
              </w:rPr>
            </w:pPr>
            <w:r>
              <w:rPr>
                <w:rFonts w:ascii="宋体" w:hAnsi="宋体" w:eastAsia="宋体" w:cs="宋体"/>
                <w:color w:val="000000"/>
              </w:rPr>
              <w:t>区域</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AD44C1">
            <w:pPr>
              <w:spacing w:line="360" w:lineRule="auto"/>
              <w:jc w:val="left"/>
              <w:textAlignment w:val="center"/>
              <w:rPr>
                <w:color w:val="000000"/>
              </w:rPr>
            </w:pPr>
            <w:r>
              <w:rPr>
                <w:rFonts w:ascii="宋体" w:hAnsi="宋体" w:eastAsia="宋体" w:cs="宋体"/>
                <w:color w:val="000000"/>
              </w:rPr>
              <w:t>流域</w:t>
            </w:r>
          </w:p>
        </w:tc>
        <w:tc>
          <w:tcPr>
            <w:tcW w:w="147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182A267">
            <w:pPr>
              <w:spacing w:line="360" w:lineRule="auto"/>
              <w:jc w:val="left"/>
              <w:textAlignment w:val="center"/>
              <w:rPr>
                <w:color w:val="000000"/>
              </w:rPr>
            </w:pPr>
            <w:r>
              <w:rPr>
                <w:rFonts w:ascii="宋体" w:hAnsi="宋体" w:eastAsia="宋体" w:cs="宋体"/>
                <w:color w:val="000000"/>
              </w:rPr>
              <w:t>年份</w:t>
            </w:r>
          </w:p>
        </w:tc>
        <w:tc>
          <w:tcPr>
            <w:tcW w:w="1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F86422">
            <w:pPr>
              <w:spacing w:line="360" w:lineRule="auto"/>
              <w:jc w:val="left"/>
              <w:textAlignment w:val="center"/>
              <w:rPr>
                <w:color w:val="000000"/>
              </w:rPr>
            </w:pPr>
            <w:r>
              <w:rPr>
                <w:rFonts w:ascii="宋体" w:hAnsi="宋体" w:eastAsia="宋体" w:cs="宋体"/>
                <w:color w:val="000000"/>
              </w:rPr>
              <w:t>冰湖数量(个)</w:t>
            </w:r>
          </w:p>
        </w:tc>
        <w:tc>
          <w:tcPr>
            <w:tcW w:w="17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AA42D6">
            <w:pPr>
              <w:spacing w:line="360" w:lineRule="auto"/>
              <w:jc w:val="left"/>
              <w:textAlignment w:val="center"/>
              <w:rPr>
                <w:color w:val="000000"/>
              </w:rPr>
            </w:pPr>
            <w:r>
              <w:rPr>
                <w:rFonts w:ascii="宋体" w:hAnsi="宋体" w:eastAsia="宋体" w:cs="宋体"/>
                <w:color w:val="000000"/>
              </w:rPr>
              <w:t>冰湖面积(km2)</w:t>
            </w:r>
          </w:p>
        </w:tc>
      </w:tr>
      <w:tr w14:paraId="0323C3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9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D5CA46">
            <w:pPr>
              <w:spacing w:line="360" w:lineRule="auto"/>
              <w:jc w:val="left"/>
              <w:textAlignment w:val="center"/>
              <w:rPr>
                <w:color w:val="000000"/>
              </w:rPr>
            </w:pPr>
            <w:r>
              <w:rPr>
                <w:rFonts w:ascii="宋体" w:hAnsi="宋体" w:eastAsia="宋体" w:cs="宋体"/>
                <w:color w:val="000000"/>
              </w:rPr>
              <w:t>西</w:t>
            </w:r>
          </w:p>
          <w:p w14:paraId="484E1892">
            <w:pPr>
              <w:spacing w:line="360" w:lineRule="auto"/>
              <w:jc w:val="left"/>
              <w:textAlignment w:val="center"/>
              <w:rPr>
                <w:color w:val="000000"/>
              </w:rPr>
            </w:pPr>
            <w:r>
              <w:rPr>
                <w:rFonts w:ascii="宋体" w:hAnsi="宋体" w:eastAsia="宋体" w:cs="宋体"/>
                <w:color w:val="000000"/>
              </w:rPr>
              <w:t>北</w:t>
            </w:r>
          </w:p>
          <w:p w14:paraId="6DB549D5">
            <w:pPr>
              <w:spacing w:line="360" w:lineRule="auto"/>
              <w:jc w:val="left"/>
              <w:textAlignment w:val="center"/>
              <w:rPr>
                <w:color w:val="000000"/>
              </w:rPr>
            </w:pPr>
            <w:r>
              <w:rPr>
                <w:rFonts w:ascii="宋体" w:hAnsi="宋体" w:eastAsia="宋体" w:cs="宋体"/>
                <w:color w:val="000000"/>
              </w:rPr>
              <w:t>部</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F4910E">
            <w:pPr>
              <w:spacing w:line="360" w:lineRule="auto"/>
              <w:jc w:val="left"/>
              <w:textAlignment w:val="center"/>
              <w:rPr>
                <w:color w:val="000000"/>
              </w:rPr>
            </w:pPr>
            <w:r>
              <w:rPr>
                <w:rFonts w:ascii="宋体" w:hAnsi="宋体" w:eastAsia="宋体" w:cs="宋体"/>
                <w:color w:val="000000"/>
              </w:rPr>
              <w:t>Ⅰ哈巴河</w:t>
            </w:r>
          </w:p>
        </w:tc>
        <w:tc>
          <w:tcPr>
            <w:tcW w:w="147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BE1691">
            <w:pPr>
              <w:spacing w:line="360" w:lineRule="auto"/>
              <w:jc w:val="center"/>
              <w:textAlignment w:val="center"/>
              <w:rPr>
                <w:color w:val="000000"/>
              </w:rPr>
            </w:pPr>
            <w:r>
              <w:rPr>
                <w:rFonts w:ascii="宋体" w:hAnsi="宋体" w:eastAsia="宋体" w:cs="宋体"/>
                <w:color w:val="000000"/>
              </w:rPr>
              <w:t>1992</w:t>
            </w:r>
          </w:p>
          <w:p w14:paraId="5125A4C3">
            <w:pPr>
              <w:spacing w:line="360" w:lineRule="auto"/>
              <w:jc w:val="center"/>
              <w:textAlignment w:val="center"/>
              <w:rPr>
                <w:color w:val="000000"/>
              </w:rPr>
            </w:pPr>
            <w:r>
              <w:rPr>
                <w:rFonts w:ascii="宋体" w:hAnsi="宋体" w:eastAsia="宋体" w:cs="宋体"/>
                <w:color w:val="000000"/>
              </w:rPr>
              <w:t>2013</w:t>
            </w:r>
          </w:p>
        </w:tc>
        <w:tc>
          <w:tcPr>
            <w:tcW w:w="124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F14903">
            <w:pPr>
              <w:spacing w:line="360" w:lineRule="auto"/>
              <w:jc w:val="center"/>
              <w:textAlignment w:val="center"/>
              <w:rPr>
                <w:color w:val="000000"/>
              </w:rPr>
            </w:pPr>
            <w:r>
              <w:rPr>
                <w:rFonts w:ascii="宋体" w:hAnsi="宋体" w:eastAsia="宋体" w:cs="宋体"/>
                <w:color w:val="000000"/>
              </w:rPr>
              <w:t>782</w:t>
            </w:r>
          </w:p>
          <w:p w14:paraId="6631891D">
            <w:pPr>
              <w:spacing w:line="360" w:lineRule="auto"/>
              <w:jc w:val="center"/>
              <w:textAlignment w:val="center"/>
              <w:rPr>
                <w:color w:val="000000"/>
              </w:rPr>
            </w:pPr>
            <w:r>
              <w:rPr>
                <w:rFonts w:ascii="宋体" w:hAnsi="宋体" w:eastAsia="宋体" w:cs="宋体"/>
                <w:color w:val="000000"/>
              </w:rPr>
              <w:t>845</w:t>
            </w:r>
          </w:p>
        </w:tc>
        <w:tc>
          <w:tcPr>
            <w:tcW w:w="171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23FE2FA">
            <w:pPr>
              <w:spacing w:line="360" w:lineRule="auto"/>
              <w:jc w:val="center"/>
              <w:textAlignment w:val="center"/>
              <w:rPr>
                <w:color w:val="000000"/>
              </w:rPr>
            </w:pPr>
            <w:r>
              <w:rPr>
                <w:rFonts w:ascii="宋体" w:hAnsi="宋体" w:eastAsia="宋体" w:cs="宋体"/>
                <w:color w:val="000000"/>
              </w:rPr>
              <w:t>88.62</w:t>
            </w:r>
          </w:p>
          <w:p w14:paraId="54CD066E">
            <w:pPr>
              <w:spacing w:line="360" w:lineRule="auto"/>
              <w:jc w:val="center"/>
              <w:textAlignment w:val="center"/>
              <w:rPr>
                <w:color w:val="000000"/>
              </w:rPr>
            </w:pPr>
            <w:r>
              <w:rPr>
                <w:rFonts w:ascii="宋体" w:hAnsi="宋体" w:eastAsia="宋体" w:cs="宋体"/>
                <w:color w:val="000000"/>
              </w:rPr>
              <w:t>90.20</w:t>
            </w:r>
          </w:p>
        </w:tc>
      </w:tr>
      <w:tr w14:paraId="775D6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2F9FAD9">
            <w:pPr>
              <w:spacing w:line="360" w:lineRule="auto"/>
              <w:ind w:firstLine="420"/>
              <w:jc w:val="left"/>
              <w:textAlignment w:val="center"/>
              <w:rPr>
                <w:color w:val="000000"/>
              </w:rPr>
            </w:pP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A4867C6">
            <w:pPr>
              <w:spacing w:line="360" w:lineRule="auto"/>
              <w:jc w:val="left"/>
              <w:textAlignment w:val="center"/>
              <w:rPr>
                <w:color w:val="000000"/>
              </w:rPr>
            </w:pPr>
            <w:r>
              <w:rPr>
                <w:rFonts w:ascii="宋体" w:hAnsi="宋体" w:eastAsia="宋体" w:cs="宋体"/>
                <w:color w:val="000000"/>
              </w:rPr>
              <w:t>Ⅱ布尔津河</w:t>
            </w:r>
          </w:p>
        </w:tc>
        <w:tc>
          <w:tcPr>
            <w:vMerge w:val="continue"/>
            <w:tcBorders>
              <w:top w:val="single" w:color="000000" w:sz="6" w:space="0"/>
              <w:left w:val="single" w:color="000000" w:sz="6" w:space="0"/>
              <w:bottom w:val="single" w:color="000000" w:sz="6" w:space="0"/>
              <w:right w:val="single" w:color="000000" w:sz="6" w:space="0"/>
            </w:tcBorders>
          </w:tcPr>
          <w:p w14:paraId="2184B3F1">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0EB835BD">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6EAECB3D">
            <w:pPr>
              <w:spacing w:line="360" w:lineRule="auto"/>
              <w:ind w:firstLine="420"/>
              <w:jc w:val="left"/>
              <w:textAlignment w:val="center"/>
              <w:rPr>
                <w:color w:val="000000"/>
              </w:rPr>
            </w:pPr>
          </w:p>
        </w:tc>
      </w:tr>
      <w:tr w14:paraId="4D36F2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D678DC7">
            <w:pPr>
              <w:spacing w:line="360" w:lineRule="auto"/>
              <w:ind w:firstLine="420"/>
              <w:jc w:val="left"/>
              <w:textAlignment w:val="center"/>
              <w:rPr>
                <w:color w:val="000000"/>
              </w:rPr>
            </w:pP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91869B">
            <w:pPr>
              <w:spacing w:line="360" w:lineRule="auto"/>
              <w:jc w:val="left"/>
              <w:textAlignment w:val="center"/>
              <w:rPr>
                <w:color w:val="000000"/>
              </w:rPr>
            </w:pPr>
            <w:r>
              <w:rPr>
                <w:rFonts w:ascii="宋体" w:hAnsi="宋体" w:eastAsia="宋体" w:cs="宋体"/>
                <w:color w:val="000000"/>
              </w:rPr>
              <w:t>Ⅲ克兰河</w:t>
            </w:r>
          </w:p>
        </w:tc>
        <w:tc>
          <w:tcPr>
            <w:vMerge w:val="continue"/>
            <w:tcBorders>
              <w:top w:val="single" w:color="000000" w:sz="6" w:space="0"/>
              <w:left w:val="single" w:color="000000" w:sz="6" w:space="0"/>
              <w:bottom w:val="single" w:color="000000" w:sz="6" w:space="0"/>
              <w:right w:val="single" w:color="000000" w:sz="6" w:space="0"/>
            </w:tcBorders>
          </w:tcPr>
          <w:p w14:paraId="67224746">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59EA2FE1">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4C7C8B92">
            <w:pPr>
              <w:spacing w:line="360" w:lineRule="auto"/>
              <w:ind w:firstLine="420"/>
              <w:jc w:val="left"/>
              <w:textAlignment w:val="center"/>
              <w:rPr>
                <w:color w:val="000000"/>
              </w:rPr>
            </w:pPr>
          </w:p>
        </w:tc>
      </w:tr>
      <w:tr w14:paraId="323006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99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891914">
            <w:pPr>
              <w:spacing w:line="360" w:lineRule="auto"/>
              <w:jc w:val="left"/>
              <w:textAlignment w:val="center"/>
              <w:rPr>
                <w:color w:val="000000"/>
              </w:rPr>
            </w:pPr>
            <w:r>
              <w:rPr>
                <w:rFonts w:ascii="宋体" w:hAnsi="宋体" w:eastAsia="宋体" w:cs="宋体"/>
                <w:color w:val="000000"/>
              </w:rPr>
              <w:t>东</w:t>
            </w:r>
          </w:p>
          <w:p w14:paraId="626F3053">
            <w:pPr>
              <w:spacing w:line="360" w:lineRule="auto"/>
              <w:jc w:val="left"/>
              <w:textAlignment w:val="center"/>
              <w:rPr>
                <w:color w:val="000000"/>
              </w:rPr>
            </w:pPr>
            <w:r>
              <w:rPr>
                <w:rFonts w:ascii="宋体" w:hAnsi="宋体" w:eastAsia="宋体" w:cs="宋体"/>
                <w:color w:val="000000"/>
              </w:rPr>
              <w:t>南</w:t>
            </w:r>
          </w:p>
          <w:p w14:paraId="3E2F550A">
            <w:pPr>
              <w:spacing w:line="360" w:lineRule="auto"/>
              <w:jc w:val="left"/>
              <w:textAlignment w:val="center"/>
              <w:rPr>
                <w:color w:val="000000"/>
              </w:rPr>
            </w:pPr>
            <w:r>
              <w:rPr>
                <w:rFonts w:ascii="宋体" w:hAnsi="宋体" w:eastAsia="宋体" w:cs="宋体"/>
                <w:color w:val="000000"/>
              </w:rPr>
              <w:t>部</w:t>
            </w: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57F794">
            <w:pPr>
              <w:spacing w:line="360" w:lineRule="auto"/>
              <w:jc w:val="left"/>
              <w:textAlignment w:val="center"/>
              <w:rPr>
                <w:color w:val="000000"/>
              </w:rPr>
            </w:pPr>
            <w:r>
              <w:rPr>
                <w:rFonts w:ascii="宋体" w:hAnsi="宋体" w:eastAsia="宋体" w:cs="宋体"/>
                <w:color w:val="000000"/>
              </w:rPr>
              <w:t>Ⅳ喀拉额尔齐斯河</w:t>
            </w:r>
          </w:p>
        </w:tc>
        <w:tc>
          <w:tcPr>
            <w:tcW w:w="147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B016FBC">
            <w:pPr>
              <w:spacing w:line="360" w:lineRule="auto"/>
              <w:jc w:val="center"/>
              <w:textAlignment w:val="center"/>
              <w:rPr>
                <w:color w:val="000000"/>
              </w:rPr>
            </w:pPr>
            <w:r>
              <w:rPr>
                <w:rFonts w:ascii="宋体" w:hAnsi="宋体" w:eastAsia="宋体" w:cs="宋体"/>
                <w:color w:val="000000"/>
              </w:rPr>
              <w:t>1992</w:t>
            </w:r>
          </w:p>
          <w:p w14:paraId="5268011E">
            <w:pPr>
              <w:spacing w:line="360" w:lineRule="auto"/>
              <w:jc w:val="center"/>
              <w:textAlignment w:val="center"/>
              <w:rPr>
                <w:color w:val="000000"/>
              </w:rPr>
            </w:pPr>
            <w:r>
              <w:rPr>
                <w:rFonts w:ascii="宋体" w:hAnsi="宋体" w:eastAsia="宋体" w:cs="宋体"/>
                <w:color w:val="000000"/>
              </w:rPr>
              <w:t>2013</w:t>
            </w:r>
          </w:p>
        </w:tc>
        <w:tc>
          <w:tcPr>
            <w:tcW w:w="1245"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BF273E">
            <w:pPr>
              <w:spacing w:line="360" w:lineRule="auto"/>
              <w:jc w:val="center"/>
              <w:textAlignment w:val="center"/>
              <w:rPr>
                <w:color w:val="000000"/>
              </w:rPr>
            </w:pPr>
            <w:r>
              <w:rPr>
                <w:rFonts w:ascii="宋体" w:hAnsi="宋体" w:eastAsia="宋体" w:cs="宋体"/>
                <w:color w:val="000000"/>
              </w:rPr>
              <w:t>276</w:t>
            </w:r>
          </w:p>
          <w:p w14:paraId="7ABFA1DD">
            <w:pPr>
              <w:spacing w:line="360" w:lineRule="auto"/>
              <w:jc w:val="center"/>
              <w:textAlignment w:val="center"/>
              <w:rPr>
                <w:color w:val="000000"/>
              </w:rPr>
            </w:pPr>
            <w:r>
              <w:rPr>
                <w:rFonts w:ascii="宋体" w:hAnsi="宋体" w:eastAsia="宋体" w:cs="宋体"/>
                <w:color w:val="000000"/>
              </w:rPr>
              <w:t>297</w:t>
            </w:r>
          </w:p>
        </w:tc>
        <w:tc>
          <w:tcPr>
            <w:tcW w:w="1710" w:type="dxa"/>
            <w:vMerge w:val="restart"/>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DE32C0">
            <w:pPr>
              <w:spacing w:line="360" w:lineRule="auto"/>
              <w:jc w:val="center"/>
              <w:textAlignment w:val="center"/>
              <w:rPr>
                <w:color w:val="000000"/>
              </w:rPr>
            </w:pPr>
            <w:r>
              <w:rPr>
                <w:rFonts w:ascii="宋体" w:hAnsi="宋体" w:eastAsia="宋体" w:cs="宋体"/>
                <w:color w:val="000000"/>
              </w:rPr>
              <w:t>10.38</w:t>
            </w:r>
          </w:p>
          <w:p w14:paraId="2752715A">
            <w:pPr>
              <w:spacing w:line="360" w:lineRule="auto"/>
              <w:jc w:val="center"/>
              <w:textAlignment w:val="center"/>
              <w:rPr>
                <w:color w:val="000000"/>
              </w:rPr>
            </w:pPr>
            <w:r>
              <w:rPr>
                <w:rFonts w:ascii="宋体" w:hAnsi="宋体" w:eastAsia="宋体" w:cs="宋体"/>
                <w:color w:val="000000"/>
              </w:rPr>
              <w:t>11.00</w:t>
            </w:r>
          </w:p>
        </w:tc>
      </w:tr>
      <w:tr w14:paraId="686A6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3FA8C5C3">
            <w:pPr>
              <w:spacing w:line="360" w:lineRule="auto"/>
              <w:ind w:firstLine="420"/>
              <w:jc w:val="left"/>
              <w:textAlignment w:val="center"/>
              <w:rPr>
                <w:color w:val="000000"/>
              </w:rPr>
            </w:pP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1CB253">
            <w:pPr>
              <w:spacing w:line="360" w:lineRule="auto"/>
              <w:jc w:val="left"/>
              <w:textAlignment w:val="center"/>
              <w:rPr>
                <w:color w:val="000000"/>
              </w:rPr>
            </w:pPr>
            <w:r>
              <w:rPr>
                <w:rFonts w:ascii="宋体" w:hAnsi="宋体" w:eastAsia="宋体" w:cs="宋体"/>
                <w:color w:val="000000"/>
              </w:rPr>
              <w:t>Ⅴ喀依尔特河</w:t>
            </w:r>
          </w:p>
        </w:tc>
        <w:tc>
          <w:tcPr>
            <w:vMerge w:val="continue"/>
            <w:tcBorders>
              <w:top w:val="single" w:color="000000" w:sz="6" w:space="0"/>
              <w:left w:val="single" w:color="000000" w:sz="6" w:space="0"/>
              <w:bottom w:val="single" w:color="000000" w:sz="6" w:space="0"/>
              <w:right w:val="single" w:color="000000" w:sz="6" w:space="0"/>
            </w:tcBorders>
          </w:tcPr>
          <w:p w14:paraId="25D017DF">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450852E3">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0CF09C75">
            <w:pPr>
              <w:spacing w:line="360" w:lineRule="auto"/>
              <w:ind w:firstLine="420"/>
              <w:jc w:val="left"/>
              <w:textAlignment w:val="center"/>
              <w:rPr>
                <w:color w:val="000000"/>
              </w:rPr>
            </w:pPr>
          </w:p>
        </w:tc>
      </w:tr>
      <w:tr w14:paraId="0749D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vMerge w:val="continue"/>
            <w:tcBorders>
              <w:top w:val="single" w:color="000000" w:sz="6" w:space="0"/>
              <w:left w:val="single" w:color="000000" w:sz="6" w:space="0"/>
              <w:bottom w:val="single" w:color="000000" w:sz="6" w:space="0"/>
              <w:right w:val="single" w:color="000000" w:sz="6" w:space="0"/>
            </w:tcBorders>
          </w:tcPr>
          <w:p w14:paraId="6806ABC1">
            <w:pPr>
              <w:spacing w:line="360" w:lineRule="auto"/>
              <w:ind w:firstLine="420"/>
              <w:jc w:val="left"/>
              <w:textAlignment w:val="center"/>
              <w:rPr>
                <w:color w:val="000000"/>
              </w:rPr>
            </w:pPr>
          </w:p>
        </w:tc>
        <w:tc>
          <w:tcPr>
            <w:tcW w:w="19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1C0BCF8">
            <w:pPr>
              <w:spacing w:line="360" w:lineRule="auto"/>
              <w:jc w:val="left"/>
              <w:textAlignment w:val="center"/>
              <w:rPr>
                <w:color w:val="000000"/>
              </w:rPr>
            </w:pPr>
            <w:r>
              <w:rPr>
                <w:rFonts w:ascii="宋体" w:hAnsi="宋体" w:eastAsia="宋体" w:cs="宋体"/>
                <w:color w:val="000000"/>
              </w:rPr>
              <w:t>Ⅵ青格里河</w:t>
            </w:r>
          </w:p>
        </w:tc>
        <w:tc>
          <w:tcPr>
            <w:vMerge w:val="continue"/>
            <w:tcBorders>
              <w:top w:val="single" w:color="000000" w:sz="6" w:space="0"/>
              <w:left w:val="single" w:color="000000" w:sz="6" w:space="0"/>
              <w:bottom w:val="single" w:color="000000" w:sz="6" w:space="0"/>
              <w:right w:val="single" w:color="000000" w:sz="6" w:space="0"/>
            </w:tcBorders>
          </w:tcPr>
          <w:p w14:paraId="737D95FF">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3AD59762">
            <w:pPr>
              <w:spacing w:line="360" w:lineRule="auto"/>
              <w:ind w:firstLine="420"/>
              <w:jc w:val="left"/>
              <w:textAlignment w:val="center"/>
              <w:rPr>
                <w:color w:val="000000"/>
              </w:rPr>
            </w:pPr>
          </w:p>
        </w:tc>
        <w:tc>
          <w:tcPr>
            <w:vMerge w:val="continue"/>
            <w:tcBorders>
              <w:top w:val="single" w:color="000000" w:sz="6" w:space="0"/>
              <w:left w:val="single" w:color="000000" w:sz="6" w:space="0"/>
              <w:bottom w:val="single" w:color="000000" w:sz="6" w:space="0"/>
              <w:right w:val="single" w:color="000000" w:sz="6" w:space="0"/>
            </w:tcBorders>
          </w:tcPr>
          <w:p w14:paraId="47576749">
            <w:pPr>
              <w:spacing w:line="360" w:lineRule="auto"/>
              <w:ind w:firstLine="420"/>
              <w:jc w:val="left"/>
              <w:textAlignment w:val="center"/>
              <w:rPr>
                <w:color w:val="000000"/>
              </w:rPr>
            </w:pPr>
          </w:p>
        </w:tc>
      </w:tr>
    </w:tbl>
    <w:p w14:paraId="526DC2F6">
      <w:pPr>
        <w:spacing w:line="360" w:lineRule="auto"/>
        <w:jc w:val="left"/>
        <w:textAlignment w:val="center"/>
        <w:rPr>
          <w:color w:val="000000"/>
        </w:rPr>
      </w:pPr>
    </w:p>
    <w:p w14:paraId="46FFDCBF">
      <w:pPr>
        <w:spacing w:line="360" w:lineRule="auto"/>
        <w:jc w:val="left"/>
        <w:textAlignment w:val="center"/>
        <w:rPr>
          <w:color w:val="000000"/>
        </w:rPr>
      </w:pPr>
      <w:r>
        <w:rPr>
          <w:color w:val="000000"/>
        </w:rPr>
        <w:t>（1）</w:t>
      </w:r>
      <w:r>
        <w:rPr>
          <w:rFonts w:ascii="宋体" w:hAnsi="宋体" w:eastAsia="宋体" w:cs="宋体"/>
          <w:color w:val="000000"/>
        </w:rPr>
        <w:t>概括该山区冰湖分布及变化的主要特征，并说明其影响因素</w:t>
      </w:r>
    </w:p>
    <w:p w14:paraId="649DA826">
      <w:pPr>
        <w:spacing w:line="360" w:lineRule="auto"/>
        <w:jc w:val="left"/>
        <w:textAlignment w:val="center"/>
        <w:rPr>
          <w:color w:val="000000"/>
        </w:rPr>
      </w:pPr>
      <w:r>
        <w:rPr>
          <w:color w:val="000000"/>
        </w:rPr>
        <w:t>（2）</w:t>
      </w:r>
      <w:r>
        <w:rPr>
          <w:rFonts w:ascii="宋体" w:hAnsi="宋体" w:eastAsia="宋体" w:cs="宋体"/>
          <w:color w:val="000000"/>
        </w:rPr>
        <w:t>阐释冰湖变化对该区域可持续发展的影响。</w:t>
      </w:r>
    </w:p>
    <w:p w14:paraId="56CEB96D">
      <w:pPr>
        <w:spacing w:line="360" w:lineRule="auto"/>
        <w:jc w:val="left"/>
        <w:textAlignment w:val="center"/>
        <w:rPr>
          <w:color w:val="000000"/>
        </w:rPr>
      </w:pPr>
      <w:r>
        <w:rPr>
          <w:color w:val="000000"/>
        </w:rPr>
        <w:t xml:space="preserve">15. </w:t>
      </w:r>
      <w:r>
        <w:rPr>
          <w:rFonts w:ascii="宋体" w:hAnsi="宋体" w:eastAsia="宋体" w:cs="宋体"/>
          <w:color w:val="000000"/>
        </w:rPr>
        <w:t>阅读图文材料，完成下列要求。</w:t>
      </w:r>
    </w:p>
    <w:p w14:paraId="0955519D">
      <w:pPr>
        <w:spacing w:line="360" w:lineRule="auto"/>
        <w:ind w:firstLine="420"/>
        <w:jc w:val="left"/>
        <w:textAlignment w:val="center"/>
        <w:rPr>
          <w:color w:val="000000"/>
        </w:rPr>
      </w:pPr>
      <w:r>
        <w:rPr>
          <w:rFonts w:ascii="楷体" w:hAnsi="楷体" w:eastAsia="楷体" w:cs="楷体"/>
          <w:color w:val="000000"/>
        </w:rPr>
        <w:t>锂是我国战略性矿产资源，开发盐湖锂矿对保障我国锂资源安全意义重大。为探究盐湖锂矿成因与可持续开发问题，苏扬老师组织学生搜集了柴达木盆地那棱格勒河流域富锂盐湖相关资料（下图）。资料表明：（1）印度洋板块与欧亚板块碰撞导致青藏高原隆升和柴达木盆地内部凹陷，为该地盐湖锂矿的形成提供了基础条件；（2）锂矿物质主要源自沿昆仑断裂带和第四纪火山活动区分布的热泉，被那棱格勒河与地下水搬运至终端湖；（3）受蒸发和补给等因素影响，一方面湖区萎缩，分裂成三个盐湖，另一方面含锂湖水蒸发浓缩，形成多成分共生锂矿；（4）为开发东、西台吉乃尔盐湖锂矿，修筑了人工堤坝，使河水不再·注入东、西台吉乃尔盐湖而改入鸭湖。</w:t>
      </w:r>
    </w:p>
    <w:p w14:paraId="446925C2">
      <w:pPr>
        <w:spacing w:line="360" w:lineRule="auto"/>
        <w:jc w:val="left"/>
        <w:textAlignment w:val="center"/>
        <w:rPr>
          <w:color w:val="000000"/>
        </w:rPr>
      </w:pPr>
      <w:r>
        <w:rPr>
          <w:color w:val="000000"/>
        </w:rPr>
        <w:drawing>
          <wp:inline distT="0" distB="0" distL="114300" distR="114300">
            <wp:extent cx="2539365" cy="2600960"/>
            <wp:effectExtent l="0" t="0" r="3810" b="889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2539365" cy="2600960"/>
                    </a:xfrm>
                    <a:prstGeom prst="rect">
                      <a:avLst/>
                    </a:prstGeom>
                  </pic:spPr>
                </pic:pic>
              </a:graphicData>
            </a:graphic>
          </wp:inline>
        </w:drawing>
      </w:r>
    </w:p>
    <w:p w14:paraId="439D8621">
      <w:pPr>
        <w:spacing w:line="360" w:lineRule="auto"/>
        <w:jc w:val="left"/>
        <w:textAlignment w:val="center"/>
        <w:rPr>
          <w:color w:val="000000"/>
        </w:rPr>
      </w:pPr>
      <w:r>
        <w:rPr>
          <w:color w:val="000000"/>
        </w:rPr>
        <w:t>（1）</w:t>
      </w:r>
      <w:r>
        <w:rPr>
          <w:rFonts w:ascii="宋体" w:hAnsi="宋体" w:eastAsia="宋体" w:cs="宋体"/>
          <w:color w:val="000000"/>
        </w:rPr>
        <w:t>经纬和丹霞两位同学分别从内、外力作用角度探究了该地盐湖锂矿的成矿条件。下面是他们各自的观点，请任选其一并加以分析。</w:t>
      </w:r>
    </w:p>
    <w:p w14:paraId="555209CA">
      <w:pPr>
        <w:spacing w:line="360" w:lineRule="auto"/>
        <w:jc w:val="left"/>
        <w:textAlignment w:val="center"/>
        <w:rPr>
          <w:color w:val="000000"/>
        </w:rPr>
      </w:pPr>
      <w:r>
        <w:rPr>
          <w:rFonts w:ascii="宋体" w:hAnsi="宋体" w:eastAsia="宋体" w:cs="宋体"/>
          <w:color w:val="000000"/>
        </w:rPr>
        <w:t>经纬：板块构造运动是盐湖锂矿形成的先决条件。</w:t>
      </w:r>
    </w:p>
    <w:p w14:paraId="21B09EE6">
      <w:pPr>
        <w:spacing w:line="360" w:lineRule="auto"/>
        <w:jc w:val="left"/>
        <w:textAlignment w:val="center"/>
        <w:rPr>
          <w:color w:val="000000"/>
        </w:rPr>
      </w:pPr>
      <w:r>
        <w:rPr>
          <w:rFonts w:ascii="宋体" w:hAnsi="宋体" w:eastAsia="宋体" w:cs="宋体"/>
          <w:color w:val="000000"/>
        </w:rPr>
        <w:t>丹霞：流水搬运是盐湖中锂富集</w:t>
      </w:r>
      <w:r>
        <w:rPr>
          <w:rFonts w:ascii="宋体" w:hAnsi="宋体" w:eastAsia="宋体" w:cs="宋体"/>
          <w:color w:val="000000"/>
          <w:position w:val="0"/>
        </w:rPr>
        <w:drawing>
          <wp:inline distT="0" distB="0" distL="114300" distR="11430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主要途径。</w:t>
      </w:r>
    </w:p>
    <w:p w14:paraId="285B997D">
      <w:pPr>
        <w:spacing w:line="360" w:lineRule="auto"/>
        <w:jc w:val="left"/>
        <w:textAlignment w:val="center"/>
        <w:rPr>
          <w:color w:val="000000"/>
        </w:rPr>
      </w:pPr>
      <w:r>
        <w:rPr>
          <w:color w:val="000000"/>
        </w:rPr>
        <w:t>（2）</w:t>
      </w:r>
      <w:r>
        <w:rPr>
          <w:rFonts w:ascii="宋体" w:hAnsi="宋体" w:eastAsia="宋体" w:cs="宋体"/>
          <w:color w:val="000000"/>
        </w:rPr>
        <w:t>试述鸭湖可作为后备锂矿资源库的条件。</w:t>
      </w:r>
    </w:p>
    <w:p w14:paraId="6D88AC50">
      <w:pPr>
        <w:spacing w:line="360" w:lineRule="auto"/>
        <w:jc w:val="left"/>
        <w:textAlignment w:val="center"/>
        <w:rPr>
          <w:color w:val="000000"/>
        </w:rPr>
      </w:pPr>
      <w:r>
        <w:rPr>
          <w:color w:val="000000"/>
        </w:rPr>
        <w:t>（3）</w:t>
      </w:r>
      <w:r>
        <w:rPr>
          <w:rFonts w:ascii="宋体" w:hAnsi="宋体" w:eastAsia="宋体" w:cs="宋体"/>
          <w:color w:val="000000"/>
        </w:rPr>
        <w:t>若未来东、西台吉乃尔盐湖锂矿资源枯竭，请基于“绿色低碳”理念，提出开发鸭湖锂矿的工程和技术措施。</w:t>
      </w:r>
    </w:p>
    <w:p w14:paraId="417574A6">
      <w:pPr>
        <w:spacing w:line="360" w:lineRule="auto"/>
        <w:jc w:val="left"/>
        <w:textAlignment w:val="center"/>
        <w:rPr>
          <w:color w:val="000000"/>
        </w:rPr>
      </w:pPr>
    </w:p>
    <w:p w14:paraId="1366D69C">
      <w:pPr>
        <w:spacing w:line="360" w:lineRule="auto"/>
        <w:jc w:val="left"/>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10DE9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46E34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C0B77B">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AF866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1A9CE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D270D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NkOGZkOWU2NWZhMzZhNDZmMjRmYjAyYjQ0ZmMyNjg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3F438CB"/>
    <w:rsid w:val="108D72AB"/>
    <w:rsid w:val="14A041FF"/>
    <w:rsid w:val="38274566"/>
    <w:rsid w:val="761554EC"/>
    <w:rsid w:val="7F0F3FF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EastAsia"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qFormat/>
    <w:uiPriority w:val="99"/>
    <w:rPr>
      <w:color w:val="0000FF"/>
      <w:u w:val="single"/>
    </w:rPr>
  </w:style>
  <w:style w:type="character" w:customStyle="1" w:styleId="7">
    <w:name w:val="页眉 字符"/>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2" Type="http://schemas.openxmlformats.org/officeDocument/2006/relationships/fontTable" Target="fontTable.xml"/><Relationship Id="rId21" Type="http://schemas.openxmlformats.org/officeDocument/2006/relationships/customXml" Target="../customXml/item1.xml"/><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Pages>6</Pages>
  <Words>2552</Words>
  <Characters>2757</Characters>
  <Lines>0</Lines>
  <Paragraphs>0</Paragraphs>
  <TotalTime>0</TotalTime>
  <ScaleCrop>false</ScaleCrop>
  <LinksUpToDate>false</LinksUpToDate>
  <CharactersWithSpaces>2897</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2026-02-10T06:37:00Z</dcterms:created>
  <dc:creator>Administrator</dc:creator>
  <cp:lastModifiedBy>上帝掷骰子吗</cp:lastModifiedBy>
  <dcterms:modified xsi:type="dcterms:W3CDTF">2026-02-10T06:55:29Z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DEA8A061B1A44E50AA3096BC4A72A4C9_12</vt:lpwstr>
  </property>
</Properties>
</file>