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ED2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hint="eastAsia" w:asciiTheme="majorEastAsia" w:hAnsiTheme="majorEastAsia" w:eastAsiaTheme="majorEastAsia" w:cstheme="majorEastAsia"/>
          <w:i w:val="0"/>
          <w:iCs w:val="0"/>
          <w:caps w:val="0"/>
          <w:spacing w:val="8"/>
          <w:sz w:val="25"/>
          <w:szCs w:val="25"/>
        </w:rPr>
      </w:pPr>
      <w:bookmarkStart w:id="0" w:name="_GoBack"/>
      <w:bookmarkEnd w:id="0"/>
      <w:r>
        <w:rPr>
          <w:rFonts w:hint="eastAsia" w:asciiTheme="majorEastAsia" w:hAnsiTheme="majorEastAsia" w:eastAsiaTheme="majorEastAsia" w:cstheme="majorEastAsia"/>
          <w:b/>
          <w:bCs/>
          <w:i w:val="0"/>
          <w:iCs w:val="0"/>
          <w:caps w:val="0"/>
          <w:color w:val="auto"/>
          <w:spacing w:val="8"/>
          <w:sz w:val="32"/>
          <w:szCs w:val="32"/>
          <w:shd w:val="clear" w:color="auto" w:fill="FFFFFF"/>
        </w:rPr>
        <w:t>2023年辽宁省普通高中学业水平选择性考试</w:t>
      </w:r>
    </w:p>
    <w:p w14:paraId="5B6BF8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b/>
          <w:bCs/>
          <w:i w:val="0"/>
          <w:iCs w:val="0"/>
          <w:caps w:val="0"/>
          <w:color w:val="auto"/>
          <w:spacing w:val="8"/>
          <w:sz w:val="32"/>
          <w:szCs w:val="32"/>
          <w:shd w:val="clear" w:color="auto" w:fill="FFFFFF"/>
        </w:rPr>
        <w:t>地理</w:t>
      </w:r>
    </w:p>
    <w:p w14:paraId="26E613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b/>
          <w:bCs/>
          <w:i w:val="0"/>
          <w:iCs w:val="0"/>
          <w:caps w:val="0"/>
          <w:color w:val="auto"/>
          <w:spacing w:val="8"/>
          <w:sz w:val="24"/>
          <w:szCs w:val="24"/>
          <w:shd w:val="clear" w:color="auto" w:fill="FFFFFF"/>
        </w:rPr>
        <w:t>一、选择题I（本大题共16小题，每小题3分，共48分。每小题列出的四个备选项中只有一个是符合题目要求的，不选、多选、错选均不得分）</w:t>
      </w:r>
    </w:p>
    <w:p w14:paraId="6D4CFA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auto"/>
          <w:spacing w:val="8"/>
          <w:sz w:val="25"/>
          <w:szCs w:val="25"/>
          <w:shd w:val="clear" w:color="auto" w:fill="FFFFFF"/>
        </w:rPr>
        <w:t>人口流动包括人口流入和人口流出。依据人口流动空间范围，将其划分为跨省、省内跨市和市内跨县三种方式。中小城市是新型城镇化的重要空间载体，对推动城乡融合和乡村振兴起重要作用，但持续的人口流动造成一些中小城市人口净流出。下表为2011～2018年我国中小城市三种方式流动人口比例。完成下面小题。</w:t>
      </w:r>
    </w:p>
    <w:tbl>
      <w:tblPr>
        <w:tblStyle w:val="5"/>
        <w:tblW w:w="1015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723"/>
        <w:gridCol w:w="1054"/>
        <w:gridCol w:w="1054"/>
        <w:gridCol w:w="1054"/>
        <w:gridCol w:w="1054"/>
        <w:gridCol w:w="1054"/>
        <w:gridCol w:w="1054"/>
        <w:gridCol w:w="1054"/>
        <w:gridCol w:w="1054"/>
      </w:tblGrid>
      <w:tr w14:paraId="30E359B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13F6E3E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年份</w:t>
            </w:r>
          </w:p>
          <w:p w14:paraId="25934D6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方式</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5E97D9E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2011</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6E3BE98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2012</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5156D6B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2013</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4A43B2B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2014</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3DA9C8C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2015</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20E85EC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2016</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600EC63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2017</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192B21C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2018</w:t>
            </w:r>
          </w:p>
        </w:tc>
      </w:tr>
      <w:tr w14:paraId="0BA0D5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68BF43B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跨省</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7BAEED4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0.39</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7D66E4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0.42</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469BF42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0.38</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5837B17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0.36</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2C126C2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0.36</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07E267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0.36</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385371C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0.36</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FEB70D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w:t>
            </w:r>
            <w:r>
              <w:rPr>
                <w:rFonts w:hint="eastAsia" w:asciiTheme="majorEastAsia" w:hAnsiTheme="majorEastAsia" w:eastAsiaTheme="majorEastAsia" w:cstheme="majorEastAsia"/>
                <w:i w:val="0"/>
                <w:iCs w:val="0"/>
                <w:caps w:val="0"/>
                <w:color w:val="auto"/>
                <w:spacing w:val="8"/>
                <w:sz w:val="25"/>
                <w:szCs w:val="25"/>
              </w:rPr>
              <w:drawing>
                <wp:inline distT="0" distB="0" distL="114300" distR="114300">
                  <wp:extent cx="28575" cy="85725"/>
                  <wp:effectExtent l="0" t="0" r="0"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0"/>
                          <a:stretch>
                            <a:fillRect/>
                          </a:stretch>
                        </pic:blipFill>
                        <pic:spPr>
                          <a:xfrm>
                            <a:off x="0" y="0"/>
                            <a:ext cx="28575" cy="85725"/>
                          </a:xfrm>
                          <a:prstGeom prst="rect">
                            <a:avLst/>
                          </a:prstGeom>
                          <a:noFill/>
                          <a:ln w="9525">
                            <a:noFill/>
                          </a:ln>
                        </pic:spPr>
                      </pic:pic>
                    </a:graphicData>
                  </a:graphic>
                </wp:inline>
              </w:drawing>
            </w:r>
            <w:r>
              <w:rPr>
                <w:rFonts w:hint="eastAsia" w:asciiTheme="majorEastAsia" w:hAnsiTheme="majorEastAsia" w:eastAsiaTheme="majorEastAsia" w:cstheme="majorEastAsia"/>
                <w:i w:val="0"/>
                <w:iCs w:val="0"/>
                <w:caps w:val="0"/>
                <w:color w:val="auto"/>
                <w:spacing w:val="8"/>
                <w:sz w:val="25"/>
                <w:szCs w:val="25"/>
              </w:rPr>
              <w:t>37</w:t>
            </w:r>
          </w:p>
        </w:tc>
      </w:tr>
      <w:tr w14:paraId="2B202E8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25FC4EC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省内跨市</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4990276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0.29</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5A64A82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0.27</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4895167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0.30</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2C867FD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0.31</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1DA4CB9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0.30</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5163F8E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0.30</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1E37D30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0.29</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F60BA6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0.28</w:t>
            </w:r>
          </w:p>
        </w:tc>
      </w:tr>
      <w:tr w14:paraId="0882BFE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8F09C8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市内跨县</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4F234D0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0.32</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6A43ED5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0.31</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3344B5F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0.32</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1DE302D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0.33</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335BAE3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0.34</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7617EC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0.34</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0CA883C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0.35</w:t>
            </w:r>
          </w:p>
        </w:tc>
        <w:tc>
          <w:tcPr>
            <w:tcW w:w="660" w:type="dxa"/>
            <w:tcBorders>
              <w:top w:val="single" w:color="000000" w:sz="8" w:space="0"/>
              <w:left w:val="single" w:color="000000" w:sz="8" w:space="0"/>
              <w:bottom w:val="single" w:color="000000" w:sz="8" w:space="0"/>
              <w:right w:val="single" w:color="000000" w:sz="8" w:space="0"/>
            </w:tcBorders>
            <w:shd w:val="clear" w:color="auto" w:fill="FFFFFF"/>
            <w:tcMar>
              <w:top w:w="75" w:type="dxa"/>
              <w:bottom w:w="75" w:type="dxa"/>
            </w:tcMar>
            <w:vAlign w:val="center"/>
          </w:tcPr>
          <w:p w14:paraId="55427DA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i w:val="0"/>
                <w:iCs w:val="0"/>
                <w:caps w:val="0"/>
                <w:color w:val="auto"/>
                <w:spacing w:val="8"/>
                <w:sz w:val="25"/>
                <w:szCs w:val="25"/>
              </w:rPr>
              <w:t>0.35</w:t>
            </w:r>
          </w:p>
        </w:tc>
      </w:tr>
    </w:tbl>
    <w:p w14:paraId="005AB1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spacing w:val="8"/>
          <w:sz w:val="25"/>
          <w:szCs w:val="25"/>
          <w:shd w:val="clear" w:color="auto" w:fill="FFFFFF"/>
        </w:rPr>
        <w:t>         </w:t>
      </w:r>
    </w:p>
    <w:p w14:paraId="2D6232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240" w:lineRule="auto"/>
        <w:ind w:left="0" w:right="0" w:firstLine="0"/>
        <w:jc w:val="left"/>
        <w:rPr>
          <w:rFonts w:hint="eastAsia" w:asciiTheme="minorEastAsia" w:hAnsiTheme="minorEastAsia" w:eastAsiaTheme="minorEastAsia" w:cstheme="minorEastAsia"/>
          <w:i w:val="0"/>
          <w:iCs w:val="0"/>
          <w:caps w:val="0"/>
          <w:spacing w:val="8"/>
          <w:sz w:val="25"/>
          <w:szCs w:val="25"/>
        </w:rPr>
      </w:pPr>
      <w:r>
        <w:rPr>
          <w:rFonts w:hint="eastAsia" w:asciiTheme="minorEastAsia" w:hAnsiTheme="minorEastAsia" w:eastAsiaTheme="minorEastAsia" w:cstheme="minorEastAsia"/>
          <w:i w:val="0"/>
          <w:iCs w:val="0"/>
          <w:caps w:val="0"/>
          <w:spacing w:val="8"/>
          <w:sz w:val="25"/>
          <w:szCs w:val="25"/>
          <w:shd w:val="clear" w:color="auto" w:fill="FFFFFF"/>
        </w:rPr>
        <w:t>1. </w:t>
      </w:r>
      <w:r>
        <w:rPr>
          <w:rFonts w:hint="eastAsia" w:asciiTheme="minorEastAsia" w:hAnsiTheme="minorEastAsia" w:eastAsiaTheme="minorEastAsia" w:cstheme="minorEastAsia"/>
          <w:i w:val="0"/>
          <w:iCs w:val="0"/>
          <w:caps w:val="0"/>
          <w:color w:val="auto"/>
          <w:spacing w:val="8"/>
          <w:sz w:val="25"/>
          <w:szCs w:val="25"/>
          <w:shd w:val="clear" w:color="auto" w:fill="FFFFFF"/>
        </w:rPr>
        <w:t>表中数据反映中小城市（   ）</w:t>
      </w:r>
    </w:p>
    <w:p w14:paraId="4DB181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240" w:lineRule="auto"/>
        <w:ind w:left="0" w:right="0" w:firstLine="0"/>
        <w:jc w:val="left"/>
        <w:rPr>
          <w:rFonts w:hint="eastAsia" w:asciiTheme="minorEastAsia" w:hAnsiTheme="minorEastAsia" w:eastAsiaTheme="minorEastAsia" w:cstheme="minorEastAsia"/>
          <w:i w:val="0"/>
          <w:iCs w:val="0"/>
          <w:caps w:val="0"/>
          <w:spacing w:val="8"/>
          <w:sz w:val="25"/>
          <w:szCs w:val="25"/>
        </w:rPr>
      </w:pPr>
      <w:r>
        <w:rPr>
          <w:rFonts w:hint="eastAsia" w:asciiTheme="minorEastAsia" w:hAnsiTheme="minorEastAsia" w:eastAsiaTheme="minorEastAsia" w:cstheme="minorEastAsia"/>
          <w:i w:val="0"/>
          <w:iCs w:val="0"/>
          <w:caps w:val="0"/>
          <w:spacing w:val="8"/>
          <w:sz w:val="25"/>
          <w:szCs w:val="25"/>
          <w:shd w:val="clear" w:color="auto" w:fill="FFFFFF"/>
        </w:rPr>
        <w:t>A. </w:t>
      </w:r>
      <w:r>
        <w:rPr>
          <w:rFonts w:hint="eastAsia" w:asciiTheme="minorEastAsia" w:hAnsiTheme="minorEastAsia" w:eastAsiaTheme="minorEastAsia" w:cstheme="minorEastAsia"/>
          <w:i w:val="0"/>
          <w:iCs w:val="0"/>
          <w:caps w:val="0"/>
          <w:color w:val="auto"/>
          <w:spacing w:val="8"/>
          <w:sz w:val="25"/>
          <w:szCs w:val="25"/>
          <w:shd w:val="clear" w:color="auto" w:fill="FFFFFF"/>
        </w:rPr>
        <w:t>2011～2014年跨省和省内跨市流动人口比例变化趋势相同</w:t>
      </w:r>
    </w:p>
    <w:p w14:paraId="26BDDC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240" w:lineRule="auto"/>
        <w:ind w:left="0" w:right="0" w:firstLine="0"/>
        <w:jc w:val="left"/>
        <w:rPr>
          <w:rFonts w:hint="eastAsia" w:asciiTheme="minorEastAsia" w:hAnsiTheme="minorEastAsia" w:eastAsiaTheme="minorEastAsia" w:cstheme="minorEastAsia"/>
          <w:i w:val="0"/>
          <w:iCs w:val="0"/>
          <w:caps w:val="0"/>
          <w:spacing w:val="8"/>
          <w:sz w:val="25"/>
          <w:szCs w:val="25"/>
        </w:rPr>
      </w:pPr>
      <w:r>
        <w:rPr>
          <w:rFonts w:hint="eastAsia" w:asciiTheme="minorEastAsia" w:hAnsiTheme="minorEastAsia" w:eastAsiaTheme="minorEastAsia" w:cstheme="minorEastAsia"/>
          <w:i w:val="0"/>
          <w:iCs w:val="0"/>
          <w:caps w:val="0"/>
          <w:spacing w:val="8"/>
          <w:sz w:val="25"/>
          <w:szCs w:val="25"/>
          <w:shd w:val="clear" w:color="auto" w:fill="FFFFFF"/>
        </w:rPr>
        <w:t>B. </w:t>
      </w:r>
      <w:r>
        <w:rPr>
          <w:rFonts w:hint="eastAsia" w:asciiTheme="minorEastAsia" w:hAnsiTheme="minorEastAsia" w:eastAsiaTheme="minorEastAsia" w:cstheme="minorEastAsia"/>
          <w:i w:val="0"/>
          <w:iCs w:val="0"/>
          <w:caps w:val="0"/>
          <w:color w:val="auto"/>
          <w:spacing w:val="8"/>
          <w:sz w:val="25"/>
          <w:szCs w:val="25"/>
          <w:shd w:val="clear" w:color="auto" w:fill="FFFFFF"/>
        </w:rPr>
        <w:t>2015年和2016年三种方式流动人口数量相同</w:t>
      </w:r>
    </w:p>
    <w:p w14:paraId="7D79D9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spacing w:val="8"/>
          <w:sz w:val="25"/>
          <w:szCs w:val="25"/>
          <w:shd w:val="clear" w:color="auto" w:fill="FFFFFF"/>
        </w:rPr>
        <w:t>C. </w:t>
      </w:r>
      <w:r>
        <w:rPr>
          <w:rFonts w:hint="eastAsia" w:asciiTheme="majorEastAsia" w:hAnsiTheme="majorEastAsia" w:eastAsiaTheme="majorEastAsia" w:cstheme="majorEastAsia"/>
          <w:i w:val="0"/>
          <w:iCs w:val="0"/>
          <w:caps w:val="0"/>
          <w:color w:val="auto"/>
          <w:spacing w:val="8"/>
          <w:sz w:val="25"/>
          <w:szCs w:val="25"/>
          <w:shd w:val="clear" w:color="auto" w:fill="FFFFFF"/>
        </w:rPr>
        <w:t>2011～2018年省内跨市流动人口比例波动上升</w:t>
      </w:r>
    </w:p>
    <w:p w14:paraId="1A74C7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spacing w:val="8"/>
          <w:sz w:val="25"/>
          <w:szCs w:val="25"/>
          <w:shd w:val="clear" w:color="auto" w:fill="FFFFFF"/>
        </w:rPr>
        <w:t>D. </w:t>
      </w:r>
      <w:r>
        <w:rPr>
          <w:rFonts w:hint="eastAsia" w:asciiTheme="majorEastAsia" w:hAnsiTheme="majorEastAsia" w:eastAsiaTheme="majorEastAsia" w:cstheme="majorEastAsia"/>
          <w:i w:val="0"/>
          <w:iCs w:val="0"/>
          <w:caps w:val="0"/>
          <w:color w:val="auto"/>
          <w:spacing w:val="8"/>
          <w:sz w:val="25"/>
          <w:szCs w:val="25"/>
          <w:shd w:val="clear" w:color="auto" w:fill="FFFFFF"/>
        </w:rPr>
        <w:t>2011～2018年三种方式流动人口比例基本均衡</w:t>
      </w:r>
    </w:p>
    <w:p w14:paraId="74FD05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spacing w:val="8"/>
          <w:sz w:val="25"/>
          <w:szCs w:val="25"/>
          <w:shd w:val="clear" w:color="auto" w:fill="FFFFFF"/>
        </w:rPr>
        <w:t>2. </w:t>
      </w:r>
      <w:r>
        <w:rPr>
          <w:rFonts w:hint="eastAsia" w:asciiTheme="majorEastAsia" w:hAnsiTheme="majorEastAsia" w:eastAsiaTheme="majorEastAsia" w:cstheme="majorEastAsia"/>
          <w:i w:val="0"/>
          <w:iCs w:val="0"/>
          <w:caps w:val="0"/>
          <w:color w:val="auto"/>
          <w:spacing w:val="8"/>
          <w:sz w:val="25"/>
          <w:szCs w:val="25"/>
          <w:shd w:val="clear" w:color="auto" w:fill="FFFFFF"/>
        </w:rPr>
        <w:t>中小城市应对人口净流出，可以（   ）</w:t>
      </w:r>
    </w:p>
    <w:p w14:paraId="5D5359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auto"/>
          <w:spacing w:val="8"/>
          <w:sz w:val="25"/>
          <w:szCs w:val="25"/>
          <w:shd w:val="clear" w:color="auto" w:fill="FFFFFF"/>
        </w:rPr>
        <w:t>①发展劳动力节约型产业②鼓励返乡创业</w:t>
      </w:r>
    </w:p>
    <w:p w14:paraId="264303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auto"/>
          <w:spacing w:val="8"/>
          <w:sz w:val="25"/>
          <w:szCs w:val="25"/>
          <w:shd w:val="clear" w:color="auto" w:fill="FFFFFF"/>
        </w:rPr>
        <w:t>③引导非核心功能疏解④放宽落户政策</w:t>
      </w:r>
    </w:p>
    <w:p w14:paraId="7A2B8B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spacing w:val="8"/>
          <w:sz w:val="25"/>
          <w:szCs w:val="25"/>
          <w:shd w:val="clear" w:color="auto" w:fill="FFFFFF"/>
        </w:rPr>
        <w:t>A. </w:t>
      </w:r>
      <w:r>
        <w:rPr>
          <w:rFonts w:hint="eastAsia" w:asciiTheme="majorEastAsia" w:hAnsiTheme="majorEastAsia" w:eastAsiaTheme="majorEastAsia" w:cstheme="majorEastAsia"/>
          <w:i w:val="0"/>
          <w:iCs w:val="0"/>
          <w:caps w:val="0"/>
          <w:color w:val="auto"/>
          <w:spacing w:val="8"/>
          <w:sz w:val="25"/>
          <w:szCs w:val="25"/>
          <w:shd w:val="clear" w:color="auto" w:fill="FFFFFF"/>
        </w:rPr>
        <w:t>①②</w:t>
      </w:r>
      <w:r>
        <w:rPr>
          <w:rFonts w:hint="eastAsia" w:asciiTheme="majorEastAsia" w:hAnsiTheme="majorEastAsia" w:eastAsiaTheme="majorEastAsia" w:cstheme="majorEastAsia"/>
          <w:i w:val="0"/>
          <w:iCs w:val="0"/>
          <w:caps w:val="0"/>
          <w:spacing w:val="8"/>
          <w:sz w:val="25"/>
          <w:szCs w:val="25"/>
          <w:shd w:val="clear" w:color="auto" w:fill="FFFFFF"/>
        </w:rPr>
        <w:t>       B. </w:t>
      </w:r>
      <w:r>
        <w:rPr>
          <w:rFonts w:hint="eastAsia" w:asciiTheme="majorEastAsia" w:hAnsiTheme="majorEastAsia" w:eastAsiaTheme="majorEastAsia" w:cstheme="majorEastAsia"/>
          <w:i w:val="0"/>
          <w:iCs w:val="0"/>
          <w:caps w:val="0"/>
          <w:color w:val="auto"/>
          <w:spacing w:val="8"/>
          <w:sz w:val="25"/>
          <w:szCs w:val="25"/>
          <w:shd w:val="clear" w:color="auto" w:fill="FFFFFF"/>
        </w:rPr>
        <w:t>①③</w:t>
      </w:r>
      <w:r>
        <w:rPr>
          <w:rFonts w:hint="eastAsia" w:asciiTheme="majorEastAsia" w:hAnsiTheme="majorEastAsia" w:eastAsiaTheme="majorEastAsia" w:cstheme="majorEastAsia"/>
          <w:i w:val="0"/>
          <w:iCs w:val="0"/>
          <w:caps w:val="0"/>
          <w:spacing w:val="8"/>
          <w:sz w:val="25"/>
          <w:szCs w:val="25"/>
          <w:shd w:val="clear" w:color="auto" w:fill="FFFFFF"/>
        </w:rPr>
        <w:t>       C. </w:t>
      </w:r>
      <w:r>
        <w:rPr>
          <w:rFonts w:hint="eastAsia" w:asciiTheme="majorEastAsia" w:hAnsiTheme="majorEastAsia" w:eastAsiaTheme="majorEastAsia" w:cstheme="majorEastAsia"/>
          <w:i w:val="0"/>
          <w:iCs w:val="0"/>
          <w:caps w:val="0"/>
          <w:color w:val="auto"/>
          <w:spacing w:val="8"/>
          <w:sz w:val="25"/>
          <w:szCs w:val="25"/>
          <w:shd w:val="clear" w:color="auto" w:fill="FFFFFF"/>
        </w:rPr>
        <w:t>②④</w:t>
      </w:r>
      <w:r>
        <w:rPr>
          <w:rFonts w:hint="eastAsia" w:asciiTheme="majorEastAsia" w:hAnsiTheme="majorEastAsia" w:eastAsiaTheme="majorEastAsia" w:cstheme="majorEastAsia"/>
          <w:i w:val="0"/>
          <w:iCs w:val="0"/>
          <w:caps w:val="0"/>
          <w:spacing w:val="8"/>
          <w:sz w:val="25"/>
          <w:szCs w:val="25"/>
          <w:shd w:val="clear" w:color="auto" w:fill="FFFFFF"/>
        </w:rPr>
        <w:t>       D. </w:t>
      </w:r>
      <w:r>
        <w:rPr>
          <w:rFonts w:hint="eastAsia" w:asciiTheme="majorEastAsia" w:hAnsiTheme="majorEastAsia" w:eastAsiaTheme="majorEastAsia" w:cstheme="majorEastAsia"/>
          <w:i w:val="0"/>
          <w:iCs w:val="0"/>
          <w:caps w:val="0"/>
          <w:color w:val="auto"/>
          <w:spacing w:val="8"/>
          <w:sz w:val="25"/>
          <w:szCs w:val="25"/>
          <w:shd w:val="clear" w:color="auto" w:fill="FFFFFF"/>
        </w:rPr>
        <w:t>③④</w:t>
      </w:r>
    </w:p>
    <w:p w14:paraId="469485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夏季风北边缘线表示夏季风到达的最北边界，其位置随夏季风强弱而移动。毛乌素沙地在距今约10000～8500年期间风沙堆积，约8500～3000年期间土壤发育。下图示意最近几十年夏季风北边缘线的平均位置。完成下面小题。</w:t>
      </w:r>
    </w:p>
    <w:p w14:paraId="128ACB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4619625" cy="2076450"/>
            <wp:effectExtent l="0" t="0" r="9525" b="0"/>
            <wp:docPr id="7"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7"/>
                    <pic:cNvPicPr>
                      <a:picLocks noChangeAspect="1"/>
                    </pic:cNvPicPr>
                  </pic:nvPicPr>
                  <pic:blipFill>
                    <a:blip r:embed="rId11"/>
                    <a:stretch>
                      <a:fillRect/>
                    </a:stretch>
                  </pic:blipFill>
                  <pic:spPr>
                    <a:xfrm>
                      <a:off x="0" y="0"/>
                      <a:ext cx="4619625" cy="2076450"/>
                    </a:xfrm>
                    <a:prstGeom prst="rect">
                      <a:avLst/>
                    </a:prstGeom>
                    <a:noFill/>
                    <a:ln w="9525">
                      <a:noFill/>
                    </a:ln>
                  </pic:spPr>
                </pic:pic>
              </a:graphicData>
            </a:graphic>
          </wp:inline>
        </w:drawing>
      </w:r>
    </w:p>
    <w:p w14:paraId="1A5FCF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3. 毛乌素沙地10000年以来的变化过程，反映了夏季风北边缘线（   ）</w:t>
      </w:r>
    </w:p>
    <w:p w14:paraId="098C10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持续往东南移动       B. 先向东南再向西北移动</w:t>
      </w:r>
    </w:p>
    <w:p w14:paraId="741095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持续往西北移动       D. 先向西北再向东南移动</w:t>
      </w:r>
    </w:p>
    <w:p w14:paraId="5C736E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4. 毛乌素沙地湖沼沉积增强期间，河西走廊中部地区广泛发育（   ）</w:t>
      </w:r>
    </w:p>
    <w:p w14:paraId="77130C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森林土     B. 草原土     C. 荒漠土    D. 高寒土</w:t>
      </w:r>
    </w:p>
    <w:p w14:paraId="326FBD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物流在商品汽车产销中发挥重要作用。汽车装配厂通常先将商品汽车入库，再依据订单数量及来源地通过铁路、公路、水陆运给经销商。目前，铁路部门将汽车装配厂的商品汽车有计划、成规模地运至物流基地（下图中的“中转库”），再依据订单由公路运给周边地区经销商，这种商品汽车物流方式称为“库前移模式”。完成下面小题。</w:t>
      </w:r>
    </w:p>
    <w:p w14:paraId="7C5077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5238750" cy="1295400"/>
            <wp:effectExtent l="0" t="0" r="0" b="0"/>
            <wp:docPr id="1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8"/>
                    <pic:cNvPicPr>
                      <a:picLocks noChangeAspect="1"/>
                    </pic:cNvPicPr>
                  </pic:nvPicPr>
                  <pic:blipFill>
                    <a:blip r:embed="rId12"/>
                    <a:stretch>
                      <a:fillRect/>
                    </a:stretch>
                  </pic:blipFill>
                  <pic:spPr>
                    <a:xfrm>
                      <a:off x="0" y="0"/>
                      <a:ext cx="5238750" cy="1295400"/>
                    </a:xfrm>
                    <a:prstGeom prst="rect">
                      <a:avLst/>
                    </a:prstGeom>
                    <a:noFill/>
                    <a:ln w="9525">
                      <a:noFill/>
                    </a:ln>
                  </pic:spPr>
                </pic:pic>
              </a:graphicData>
            </a:graphic>
          </wp:inline>
        </w:drawing>
      </w:r>
    </w:p>
    <w:p w14:paraId="797274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5. 建设“中转库”主要为了发挥（   ）</w:t>
      </w:r>
    </w:p>
    <w:p w14:paraId="388B01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铁路运输安全快捷优势       B. 公路铁路联合运输优势</w:t>
      </w:r>
    </w:p>
    <w:p w14:paraId="672AE2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铁路运输规模经济优势       D. 公路运输灵活便利优势</w:t>
      </w:r>
    </w:p>
    <w:p w14:paraId="3A558D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6. 与旧模式相比，“库前移模式”能够提高（   ）</w:t>
      </w:r>
    </w:p>
    <w:p w14:paraId="009D70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装配厂的汽车生产量       B. 经销商的销售时效性</w:t>
      </w:r>
    </w:p>
    <w:p w14:paraId="0A0299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装配厂的市场占有率       D. 经销商的汽车销售量</w:t>
      </w:r>
    </w:p>
    <w:p w14:paraId="01E0F4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沿岸水是河水与海水在沿岸混合而成的水体。受盛行风、海岸线形态、入海径流和海水运动等因素影响，渤海南部沿岸水的盐度、运动范围等季节变化较明显。图为渤海局部海域1月盐度分布图。完成下面小题。</w:t>
      </w:r>
    </w:p>
    <w:p w14:paraId="08F305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5238750" cy="3762375"/>
            <wp:effectExtent l="0" t="0" r="0" b="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13"/>
                    <a:stretch>
                      <a:fillRect/>
                    </a:stretch>
                  </pic:blipFill>
                  <pic:spPr>
                    <a:xfrm>
                      <a:off x="0" y="0"/>
                      <a:ext cx="5238750" cy="3762375"/>
                    </a:xfrm>
                    <a:prstGeom prst="rect">
                      <a:avLst/>
                    </a:prstGeom>
                    <a:noFill/>
                    <a:ln w="9525">
                      <a:noFill/>
                    </a:ln>
                  </pic:spPr>
                </pic:pic>
              </a:graphicData>
            </a:graphic>
          </wp:inline>
        </w:drawing>
      </w:r>
    </w:p>
    <w:p w14:paraId="14D8F6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7. 图中甲海域低值中心形成的主要原因是（   ）</w:t>
      </w:r>
    </w:p>
    <w:p w14:paraId="59D4E4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海域结冰少       B. 径流汇入多</w:t>
      </w:r>
    </w:p>
    <w:p w14:paraId="2B7E5F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w:t>
      </w: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28575" cy="85725"/>
            <wp:effectExtent l="0" t="0" r="0" b="0"/>
            <wp:docPr id="1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IMG_260"/>
                    <pic:cNvPicPr>
                      <a:picLocks noChangeAspect="1"/>
                    </pic:cNvPicPr>
                  </pic:nvPicPr>
                  <pic:blipFill>
                    <a:blip r:embed="rId10"/>
                    <a:stretch>
                      <a:fillRect/>
                    </a:stretch>
                  </pic:blipFill>
                  <pic:spPr>
                    <a:xfrm>
                      <a:off x="0" y="0"/>
                      <a:ext cx="28575" cy="85725"/>
                    </a:xfrm>
                    <a:prstGeom prst="rect">
                      <a:avLst/>
                    </a:prstGeom>
                    <a:noFill/>
                    <a:ln w="9525">
                      <a:noFill/>
                    </a:ln>
                  </pic:spPr>
                </pic:pic>
              </a:graphicData>
            </a:graphic>
          </wp:inline>
        </w:drawing>
      </w:r>
      <w:r>
        <w:rPr>
          <w:rFonts w:hint="eastAsia" w:asciiTheme="majorEastAsia" w:hAnsiTheme="majorEastAsia" w:eastAsiaTheme="majorEastAsia" w:cstheme="majorEastAsia"/>
          <w:i w:val="0"/>
          <w:iCs w:val="0"/>
          <w:caps w:val="0"/>
          <w:color w:val="000000"/>
          <w:spacing w:val="8"/>
          <w:sz w:val="25"/>
          <w:szCs w:val="25"/>
          <w:shd w:val="clear" w:color="auto" w:fill="FFFFFF"/>
        </w:rPr>
        <w:t> 沿岸水蒸发少       D. 沿岸水积聚多</w:t>
      </w:r>
    </w:p>
    <w:p w14:paraId="7F4729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8. 1月渤海与黄海海水交换的模式是（   ）</w:t>
      </w:r>
    </w:p>
    <w:p w14:paraId="02C324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南进北出       B. 北进南出</w:t>
      </w:r>
    </w:p>
    <w:p w14:paraId="42B70E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中间进南北出       D. 南北进中间出</w:t>
      </w:r>
    </w:p>
    <w:p w14:paraId="36083B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9. 与1月相比，推测7月（   ）</w:t>
      </w:r>
    </w:p>
    <w:p w14:paraId="57A72C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甲海域与渤海海峡盐度差变小</w:t>
      </w:r>
    </w:p>
    <w:p w14:paraId="45CFC6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B</w:t>
      </w: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28575" cy="85725"/>
            <wp:effectExtent l="0" t="0" r="0" b="0"/>
            <wp:docPr id="4"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IMG_261"/>
                    <pic:cNvPicPr>
                      <a:picLocks noChangeAspect="1"/>
                    </pic:cNvPicPr>
                  </pic:nvPicPr>
                  <pic:blipFill>
                    <a:blip r:embed="rId10"/>
                    <a:stretch>
                      <a:fillRect/>
                    </a:stretch>
                  </pic:blipFill>
                  <pic:spPr>
                    <a:xfrm>
                      <a:off x="0" y="0"/>
                      <a:ext cx="28575" cy="85725"/>
                    </a:xfrm>
                    <a:prstGeom prst="rect">
                      <a:avLst/>
                    </a:prstGeom>
                    <a:noFill/>
                    <a:ln w="9525">
                      <a:noFill/>
                    </a:ln>
                  </pic:spPr>
                </pic:pic>
              </a:graphicData>
            </a:graphic>
          </wp:inline>
        </w:drawing>
      </w:r>
      <w:r>
        <w:rPr>
          <w:rFonts w:hint="eastAsia" w:asciiTheme="majorEastAsia" w:hAnsiTheme="majorEastAsia" w:eastAsiaTheme="majorEastAsia" w:cstheme="majorEastAsia"/>
          <w:i w:val="0"/>
          <w:iCs w:val="0"/>
          <w:caps w:val="0"/>
          <w:color w:val="000000"/>
          <w:spacing w:val="8"/>
          <w:sz w:val="25"/>
          <w:szCs w:val="25"/>
          <w:shd w:val="clear" w:color="auto" w:fill="FFFFFF"/>
        </w:rPr>
        <w:t> 渤海南部沿岸水范围向东扩大</w:t>
      </w:r>
    </w:p>
    <w:p w14:paraId="59E7C9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渤海与黄海之间海水交换加强</w:t>
      </w:r>
    </w:p>
    <w:p w14:paraId="745F3C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D. 渤海南部沿岸水盐度明显降低</w:t>
      </w:r>
    </w:p>
    <w:p w14:paraId="243772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中学地理小组到某综合试验区开展研学活动，在科研人员指导下，运用基本农田地面监测系统对区域内气象要素、空气质量、土壤、水质、病虫害等进行监测和数据采集，了解该系统在农业方面的应用。北京时间18:14研学活动结束时日落正西。完成下面小题。</w:t>
      </w:r>
    </w:p>
    <w:p w14:paraId="0D0564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10. 基本农田地面监测系统提供的信息主要应用于（   ）</w:t>
      </w:r>
    </w:p>
    <w:p w14:paraId="7044A5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①预报天气②灌溉施肥③改变熟制④防灾减灾</w:t>
      </w:r>
    </w:p>
    <w:p w14:paraId="3E373D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w:t>
      </w: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28575" cy="85725"/>
            <wp:effectExtent l="0" t="0" r="0" b="0"/>
            <wp:docPr id="10"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63"/>
                    <pic:cNvPicPr>
                      <a:picLocks noChangeAspect="1"/>
                    </pic:cNvPicPr>
                  </pic:nvPicPr>
                  <pic:blipFill>
                    <a:blip r:embed="rId10"/>
                    <a:stretch>
                      <a:fillRect/>
                    </a:stretch>
                  </pic:blipFill>
                  <pic:spPr>
                    <a:xfrm>
                      <a:off x="0" y="0"/>
                      <a:ext cx="28575" cy="85725"/>
                    </a:xfrm>
                    <a:prstGeom prst="rect">
                      <a:avLst/>
                    </a:prstGeom>
                    <a:noFill/>
                    <a:ln w="9525">
                      <a:noFill/>
                    </a:ln>
                  </pic:spPr>
                </pic:pic>
              </a:graphicData>
            </a:graphic>
          </wp:inline>
        </w:drawing>
      </w:r>
      <w:r>
        <w:rPr>
          <w:rFonts w:hint="eastAsia" w:asciiTheme="majorEastAsia" w:hAnsiTheme="majorEastAsia" w:eastAsiaTheme="majorEastAsia" w:cstheme="majorEastAsia"/>
          <w:i w:val="0"/>
          <w:iCs w:val="0"/>
          <w:caps w:val="0"/>
          <w:color w:val="000000"/>
          <w:spacing w:val="8"/>
          <w:sz w:val="25"/>
          <w:szCs w:val="25"/>
          <w:shd w:val="clear" w:color="auto" w:fill="FFFFFF"/>
        </w:rPr>
        <w:t> ①②       B. ①③       C. ②④       D. ③④</w:t>
      </w:r>
    </w:p>
    <w:p w14:paraId="505D0C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11. 该试验区位于（   ）</w:t>
      </w:r>
    </w:p>
    <w:p w14:paraId="4B81A7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黄淮海平原    B. 三江平    C. 吐鲁番盆     D. 河套平原</w:t>
      </w:r>
    </w:p>
    <w:p w14:paraId="518AC8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5200650" cy="2800350"/>
            <wp:effectExtent l="0" t="0" r="0" b="0"/>
            <wp:docPr id="6"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IMG_264"/>
                    <pic:cNvPicPr>
                      <a:picLocks noChangeAspect="1"/>
                    </pic:cNvPicPr>
                  </pic:nvPicPr>
                  <pic:blipFill>
                    <a:blip r:embed="rId14"/>
                    <a:stretch>
                      <a:fillRect/>
                    </a:stretch>
                  </pic:blipFill>
                  <pic:spPr>
                    <a:xfrm>
                      <a:off x="0" y="0"/>
                      <a:ext cx="5200650" cy="2800350"/>
                    </a:xfrm>
                    <a:prstGeom prst="rect">
                      <a:avLst/>
                    </a:prstGeom>
                    <a:noFill/>
                    <a:ln w="9525">
                      <a:noFill/>
                    </a:ln>
                  </pic:spPr>
                </pic:pic>
              </a:graphicData>
            </a:graphic>
          </wp:inline>
        </w:drawing>
      </w:r>
    </w:p>
    <w:p w14:paraId="52881E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12. 巴拉望岛红树物种数量较少的主要原因是（   ）</w:t>
      </w:r>
    </w:p>
    <w:p w14:paraId="3B8701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海水温度较高       B. 河口和滩涂少</w:t>
      </w:r>
    </w:p>
    <w:p w14:paraId="3C9CBC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洋流影响较小       D. 火山和地震多</w:t>
      </w:r>
    </w:p>
    <w:p w14:paraId="279366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13. 夏季红树种子在图中虚线段海域传播规模小，主要是因为该段海域（   ）</w:t>
      </w:r>
    </w:p>
    <w:p w14:paraId="5B83BA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西南季风受阻       B. 离岸风影响大</w:t>
      </w:r>
    </w:p>
    <w:p w14:paraId="59EADC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洋流推力减弱       D. 潮间带面积小</w:t>
      </w:r>
    </w:p>
    <w:p w14:paraId="284D97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当一个地区受到构造抬升时，促使河流在它以前的谷底下切，原谷底突出在新河床之上，成为近似于阶梯状地形，称为阶地。阶地按从下到上（由新到老）依次命名为T1、T2……。青衣江发源于青藏高原东南部，流入四川盆地。图为青衣江沿线各阶地不同时期的河流下切速率（毫米/年）示意图。完成下面小题。</w:t>
      </w:r>
    </w:p>
    <w:p w14:paraId="7594B0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5238750" cy="2295525"/>
            <wp:effectExtent l="0" t="0" r="0" b="0"/>
            <wp:docPr id="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IMG_265"/>
                    <pic:cNvPicPr>
                      <a:picLocks noChangeAspect="1"/>
                    </pic:cNvPicPr>
                  </pic:nvPicPr>
                  <pic:blipFill>
                    <a:blip r:embed="rId15"/>
                    <a:stretch>
                      <a:fillRect/>
                    </a:stretch>
                  </pic:blipFill>
                  <pic:spPr>
                    <a:xfrm>
                      <a:off x="0" y="0"/>
                      <a:ext cx="5238750" cy="2295525"/>
                    </a:xfrm>
                    <a:prstGeom prst="rect">
                      <a:avLst/>
                    </a:prstGeom>
                    <a:noFill/>
                    <a:ln w="9525">
                      <a:noFill/>
                    </a:ln>
                  </pic:spPr>
                </pic:pic>
              </a:graphicData>
            </a:graphic>
          </wp:inline>
        </w:drawing>
      </w:r>
    </w:p>
    <w:p w14:paraId="42564D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14. 毛家坝T5、T4、T3阶地形成过程中，河流下切速率的变化是（   ）</w:t>
      </w:r>
    </w:p>
    <w:p w14:paraId="49CEDE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不断加快       B. 不断减慢</w:t>
      </w:r>
    </w:p>
    <w:p w14:paraId="558E37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先变慢，后变快       D. 先变快，后变慢</w:t>
      </w:r>
    </w:p>
    <w:p w14:paraId="2D6AB0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15. 影响栗子坪和阳坪现有阶地数量的主要因素是（   ）</w:t>
      </w:r>
    </w:p>
    <w:p w14:paraId="1FE4E0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河谷陡缓   B. 海拔高低    C. 流量大小    D. 基岩软硬</w:t>
      </w:r>
    </w:p>
    <w:p w14:paraId="32B721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16. 各时期河流最大下切速率所在地随时间（   ）</w:t>
      </w:r>
    </w:p>
    <w:p w14:paraId="6CDEC7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A. 往四川盆地方向变化</w:t>
      </w:r>
    </w:p>
    <w:p w14:paraId="02FF9F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B. 往青藏高原方向变化</w:t>
      </w:r>
    </w:p>
    <w:p w14:paraId="266953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C. 由东西往青藏高原与四川盆地交界地带变化</w:t>
      </w:r>
    </w:p>
    <w:p w14:paraId="4E9766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D. 由青藏高原与四川盆地交界地带往东西变化</w:t>
      </w:r>
    </w:p>
    <w:p w14:paraId="0ADD74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b/>
          <w:bCs/>
          <w:i w:val="0"/>
          <w:iCs w:val="0"/>
          <w:caps w:val="0"/>
          <w:color w:val="000000"/>
          <w:spacing w:val="8"/>
          <w:sz w:val="24"/>
          <w:szCs w:val="24"/>
          <w:shd w:val="clear" w:color="auto" w:fill="FFFFFF"/>
        </w:rPr>
        <w:t>二、非选择题（本大题共3小题，共52分）</w:t>
      </w:r>
    </w:p>
    <w:p w14:paraId="79F4A8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17. 阅读材料，完成下列问题。</w:t>
      </w:r>
    </w:p>
    <w:p w14:paraId="117864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韩国是越南最大的外资来源国，河内大都市区（河内市区及其周边地区）是韩国企业在越南投资的重点地区。制造业和房地产是韩国企业投资的两大关联领域，房地产主要满足在韩资企业工作的韩籍雇员及其眷属的居住与生活需求。下图示意1991～2017年韩国企业制造业投资总额和房地产投资总额在河内大都市区的空间分布。</w:t>
      </w:r>
    </w:p>
    <w:p w14:paraId="3EB3A1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3971925" cy="2619375"/>
            <wp:effectExtent l="0" t="0" r="9525" b="9525"/>
            <wp:docPr id="1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IMG_266"/>
                    <pic:cNvPicPr>
                      <a:picLocks noChangeAspect="1"/>
                    </pic:cNvPicPr>
                  </pic:nvPicPr>
                  <pic:blipFill>
                    <a:blip r:embed="rId16"/>
                    <a:stretch>
                      <a:fillRect/>
                    </a:stretch>
                  </pic:blipFill>
                  <pic:spPr>
                    <a:xfrm>
                      <a:off x="0" y="0"/>
                      <a:ext cx="3971925" cy="2619375"/>
                    </a:xfrm>
                    <a:prstGeom prst="rect">
                      <a:avLst/>
                    </a:prstGeom>
                    <a:noFill/>
                    <a:ln w="9525">
                      <a:noFill/>
                    </a:ln>
                  </pic:spPr>
                </pic:pic>
              </a:graphicData>
            </a:graphic>
          </wp:inline>
        </w:drawing>
      </w:r>
      <w:r>
        <w:rPr>
          <w:rFonts w:hint="eastAsia" w:asciiTheme="majorEastAsia" w:hAnsiTheme="majorEastAsia" w:eastAsiaTheme="majorEastAsia" w:cstheme="majorEastAsia"/>
          <w:i w:val="0"/>
          <w:iCs w:val="0"/>
          <w:caps w:val="0"/>
          <w:color w:val="000000"/>
          <w:spacing w:val="8"/>
          <w:sz w:val="25"/>
          <w:szCs w:val="25"/>
          <w:shd w:val="clear" w:color="auto" w:fill="FFFFFF"/>
        </w:rPr>
        <w:t> </w:t>
      </w:r>
    </w:p>
    <w:p w14:paraId="48A3C2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（1）分别概括河内大都市区韩国企业房地产投资和制造业投资的空间分布特点。</w:t>
      </w:r>
    </w:p>
    <w:p w14:paraId="27618D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（2）分析韩国企业房地产投资分布的原因。</w:t>
      </w:r>
    </w:p>
    <w:p w14:paraId="07A704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（3）根据韩国企业房地产投资与制造业投资的空间分布，推测其带来的城市空间变化及交通需求。</w:t>
      </w:r>
    </w:p>
    <w:p w14:paraId="779673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color w:val="000000"/>
          <w:spacing w:val="8"/>
          <w:sz w:val="25"/>
          <w:szCs w:val="25"/>
          <w:shd w:val="clear" w:color="auto" w:fill="FFFFFF"/>
        </w:rPr>
      </w:pPr>
    </w:p>
    <w:p w14:paraId="486254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18. 阅读材料，完成下列问题。</w:t>
      </w:r>
    </w:p>
    <w:p w14:paraId="6CDDE9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在对流层的中低层，风的辐合、辐散和水汽输送是影响天气和气候的重要因子。辐合是水平气流的流速降低或流向变化造成气流聚集而产生的上升运动，辐散是水平气流的流速增加或流向变化造成气流分散而产生的下沉运动。图为1981～2010年中亚及周边地区中低层平均风场分布图。</w:t>
      </w:r>
    </w:p>
    <w:p w14:paraId="4D5312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5238750" cy="2095500"/>
            <wp:effectExtent l="0" t="0" r="0" b="0"/>
            <wp:docPr id="2"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IMG_267"/>
                    <pic:cNvPicPr>
                      <a:picLocks noChangeAspect="1"/>
                    </pic:cNvPicPr>
                  </pic:nvPicPr>
                  <pic:blipFill>
                    <a:blip r:embed="rId17"/>
                    <a:stretch>
                      <a:fillRect/>
                    </a:stretch>
                  </pic:blipFill>
                  <pic:spPr>
                    <a:xfrm>
                      <a:off x="0" y="0"/>
                      <a:ext cx="5238750" cy="2095500"/>
                    </a:xfrm>
                    <a:prstGeom prst="rect">
                      <a:avLst/>
                    </a:prstGeom>
                    <a:noFill/>
                    <a:ln w="9525">
                      <a:noFill/>
                    </a:ln>
                  </pic:spPr>
                </pic:pic>
              </a:graphicData>
            </a:graphic>
          </wp:inline>
        </w:drawing>
      </w:r>
    </w:p>
    <w:p w14:paraId="15C1C0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（1）分析甲地1月降水的成因。</w:t>
      </w:r>
    </w:p>
    <w:p w14:paraId="5E06AC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（2）指出7月影响甲地的主要天气系统，分析该系统对甲地天气的影响。</w:t>
      </w:r>
    </w:p>
    <w:p w14:paraId="25E422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（3）与甲地相比，说明乙地的气候特点。</w:t>
      </w:r>
    </w:p>
    <w:p w14:paraId="332078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color w:val="000000"/>
          <w:spacing w:val="8"/>
          <w:sz w:val="25"/>
          <w:szCs w:val="25"/>
          <w:shd w:val="clear" w:color="auto" w:fill="FFFFFF"/>
        </w:rPr>
      </w:pPr>
    </w:p>
    <w:p w14:paraId="57F188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color w:val="000000"/>
          <w:spacing w:val="8"/>
          <w:sz w:val="25"/>
          <w:szCs w:val="25"/>
          <w:shd w:val="clear" w:color="auto" w:fill="FFFFFF"/>
        </w:rPr>
      </w:pPr>
    </w:p>
    <w:p w14:paraId="498D01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color w:val="000000"/>
          <w:spacing w:val="8"/>
          <w:sz w:val="25"/>
          <w:szCs w:val="25"/>
          <w:shd w:val="clear" w:color="auto" w:fill="FFFFFF"/>
        </w:rPr>
      </w:pPr>
    </w:p>
    <w:p w14:paraId="0970C6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19. 阅读材料，完成下列问题。</w:t>
      </w:r>
    </w:p>
    <w:p w14:paraId="7FA071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磐安县地处浙江中部大盘山区，为重点生态功能区（下图阴影区域）。为推动流域协调发展，1994年金华市划出3.8km</w:t>
      </w:r>
      <w:r>
        <w:rPr>
          <w:rFonts w:hint="eastAsia" w:asciiTheme="majorEastAsia" w:hAnsiTheme="majorEastAsia" w:eastAsiaTheme="majorEastAsia" w:cstheme="majorEastAsia"/>
          <w:i w:val="0"/>
          <w:iCs w:val="0"/>
          <w:caps w:val="0"/>
          <w:color w:val="000000"/>
          <w:spacing w:val="8"/>
          <w:sz w:val="25"/>
          <w:szCs w:val="25"/>
          <w:shd w:val="clear" w:color="auto" w:fill="FFFFFF"/>
          <w:vertAlign w:val="superscript"/>
        </w:rPr>
        <w:t>2</w:t>
      </w:r>
      <w:r>
        <w:rPr>
          <w:rFonts w:hint="eastAsia" w:asciiTheme="majorEastAsia" w:hAnsiTheme="majorEastAsia" w:eastAsiaTheme="majorEastAsia" w:cstheme="majorEastAsia"/>
          <w:i w:val="0"/>
          <w:iCs w:val="0"/>
          <w:caps w:val="0"/>
          <w:color w:val="000000"/>
          <w:spacing w:val="8"/>
          <w:sz w:val="25"/>
          <w:szCs w:val="25"/>
          <w:shd w:val="clear" w:color="auto" w:fill="FFFFFF"/>
        </w:rPr>
        <w:t>土地建设金磐开发区，用于磐安县异地发展工业，园区内产值和税收归磐安县所有。磐安县实施“生态立县”发展战略，大力发展生态经济（集中式发展生态农业、生态旅游等）。这一模式被称为“飞地生态补偿”。截至2019年，金磐开发区累计上缴各类收入50多亿元，吸纳磐安县就业人员2万多人，安置下山移民1000余人。磐安县空气质量和出境地表水质常年保持较高标准。</w:t>
      </w:r>
    </w:p>
    <w:p w14:paraId="3E3DA3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drawing>
          <wp:inline distT="0" distB="0" distL="114300" distR="114300">
            <wp:extent cx="4762500" cy="1943100"/>
            <wp:effectExtent l="0" t="0" r="0" b="0"/>
            <wp:docPr id="9"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descr="IMG_268"/>
                    <pic:cNvPicPr>
                      <a:picLocks noChangeAspect="1"/>
                    </pic:cNvPicPr>
                  </pic:nvPicPr>
                  <pic:blipFill>
                    <a:blip r:embed="rId18"/>
                    <a:stretch>
                      <a:fillRect/>
                    </a:stretch>
                  </pic:blipFill>
                  <pic:spPr>
                    <a:xfrm>
                      <a:off x="0" y="0"/>
                      <a:ext cx="4762500" cy="1943100"/>
                    </a:xfrm>
                    <a:prstGeom prst="rect">
                      <a:avLst/>
                    </a:prstGeom>
                    <a:noFill/>
                    <a:ln w="9525">
                      <a:noFill/>
                    </a:ln>
                  </pic:spPr>
                </pic:pic>
              </a:graphicData>
            </a:graphic>
          </wp:inline>
        </w:drawing>
      </w:r>
    </w:p>
    <w:p w14:paraId="6DA053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（1）简述磐安县实施“生态立县”发展战略的条件。</w:t>
      </w:r>
    </w:p>
    <w:p w14:paraId="2C3EED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（2）分析金磐开发区对磐安县发挥区域主体功能的有利影响。</w:t>
      </w:r>
    </w:p>
    <w:p w14:paraId="04C499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Theme="majorEastAsia" w:hAnsiTheme="majorEastAsia" w:eastAsiaTheme="majorEastAsia" w:cstheme="majorEastAsia"/>
          <w:i w:val="0"/>
          <w:iCs w:val="0"/>
          <w:caps w:val="0"/>
          <w:spacing w:val="8"/>
          <w:sz w:val="25"/>
          <w:szCs w:val="25"/>
        </w:rPr>
      </w:pPr>
      <w:r>
        <w:rPr>
          <w:rFonts w:hint="eastAsia" w:asciiTheme="majorEastAsia" w:hAnsiTheme="majorEastAsia" w:eastAsiaTheme="majorEastAsia" w:cstheme="majorEastAsia"/>
          <w:i w:val="0"/>
          <w:iCs w:val="0"/>
          <w:caps w:val="0"/>
          <w:color w:val="000000"/>
          <w:spacing w:val="8"/>
          <w:sz w:val="25"/>
          <w:szCs w:val="25"/>
          <w:shd w:val="clear" w:color="auto" w:fill="FFFFFF"/>
        </w:rPr>
        <w:t>（3）说明该“飞地生态补偿”模式给金华市带来的益处。</w:t>
      </w:r>
    </w:p>
    <w:p w14:paraId="53D00230">
      <w:pPr>
        <w:rPr>
          <w:rFonts w:hint="eastAsia" w:asciiTheme="majorEastAsia" w:hAnsiTheme="majorEastAsia" w:eastAsiaTheme="majorEastAsia" w:cstheme="major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94AD5">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AF8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161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E954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333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1E3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1ABF5DCC"/>
    <w:rsid w:val="337B5C5A"/>
    <w:rsid w:val="42C05251"/>
    <w:rsid w:val="5F2C2381"/>
    <w:rsid w:val="65386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2554</Words>
  <Characters>2827</Characters>
  <Lines>0</Lines>
  <Paragraphs>0</Paragraphs>
  <TotalTime>0</TotalTime>
  <ScaleCrop>false</ScaleCrop>
  <LinksUpToDate>false</LinksUpToDate>
  <CharactersWithSpaces>3160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6C0D0CBF37874F0A910F916F2F4E9BDC_12</vt:lpwstr>
  </property>
</Properties>
</file>