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416D23">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10718800</wp:posOffset>
            </wp:positionV>
            <wp:extent cx="431800" cy="317500"/>
            <wp:effectExtent l="0" t="0" r="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1"/>
                    <a:stretch>
                      <a:fillRect/>
                    </a:stretch>
                  </pic:blipFill>
                  <pic:spPr>
                    <a:xfrm>
                      <a:off x="0" y="0"/>
                      <a:ext cx="431800" cy="317500"/>
                    </a:xfrm>
                    <a:prstGeom prst="rect">
                      <a:avLst/>
                    </a:prstGeom>
                  </pic:spPr>
                </pic:pic>
              </a:graphicData>
            </a:graphic>
          </wp:anchor>
        </w:drawing>
      </w:r>
      <w:r>
        <w:rPr>
          <w:rFonts w:ascii="宋体" w:hAnsi="宋体"/>
          <w:b/>
          <w:sz w:val="32"/>
        </w:rPr>
        <w:t>浙江省普通高校招生选考科目考试</w:t>
      </w:r>
    </w:p>
    <w:p w14:paraId="68047F5A">
      <w:pPr>
        <w:spacing w:line="360" w:lineRule="auto"/>
        <w:jc w:val="center"/>
      </w:pPr>
      <w:r>
        <w:rPr>
          <w:rFonts w:ascii="宋体" w:hAnsi="宋体"/>
          <w:b/>
          <w:sz w:val="32"/>
        </w:rPr>
        <w:t>地理试题</w:t>
      </w:r>
    </w:p>
    <w:p w14:paraId="0F967CE9">
      <w:pPr>
        <w:spacing w:line="360" w:lineRule="auto"/>
        <w:jc w:val="left"/>
      </w:pPr>
      <w:r>
        <w:rPr>
          <w:rFonts w:ascii="宋体" w:hAnsi="宋体"/>
          <w:b/>
          <w:sz w:val="24"/>
        </w:rPr>
        <w:t>一、选择题I（本大题共20小题，每小题2分，共40分。每小题列出的四个备选项中只有一个是符合题目要求的，不选、多选、错选均不得分）</w:t>
      </w:r>
    </w:p>
    <w:p w14:paraId="1B42A8A0">
      <w:pPr>
        <w:spacing w:line="360" w:lineRule="auto"/>
        <w:ind w:firstLine="420"/>
        <w:jc w:val="left"/>
      </w:pPr>
      <w:r>
        <w:rPr>
          <w:rFonts w:ascii="楷体" w:hAnsi="楷体" w:eastAsia="楷体" w:cs="楷体"/>
        </w:rPr>
        <w:t>中亚是“丝绸之路经济带”的重要节点。近年来经济发展迅速，人口增长明显，但人口分布的空间格局基本不变。下面为中亚五国地形及各国人口、面积柱状图。完成下面小题。</w:t>
      </w:r>
    </w:p>
    <w:p w14:paraId="674BBB85">
      <w:pPr>
        <w:spacing w:line="360" w:lineRule="auto"/>
        <w:jc w:val="left"/>
      </w:pPr>
      <w:r>
        <w:drawing>
          <wp:inline distT="0" distB="0" distL="0" distR="0">
            <wp:extent cx="5238750" cy="1682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683208"/>
                    </a:xfrm>
                    <a:prstGeom prst="rect">
                      <a:avLst/>
                    </a:prstGeom>
                  </pic:spPr>
                </pic:pic>
              </a:graphicData>
            </a:graphic>
          </wp:inline>
        </w:drawing>
      </w:r>
    </w:p>
    <w:p w14:paraId="5F65BC66">
      <w:pPr>
        <w:spacing w:line="360" w:lineRule="auto"/>
        <w:jc w:val="left"/>
        <w:textAlignment w:val="center"/>
      </w:pPr>
      <w:r>
        <w:t xml:space="preserve">1. </w:t>
      </w:r>
      <w:r>
        <w:rPr>
          <w:rFonts w:ascii="宋体" w:hAnsi="宋体"/>
        </w:rPr>
        <w:t>下列中亚国家中，人口密度最小的是（   ）</w:t>
      </w:r>
    </w:p>
    <w:p w14:paraId="5CF98226">
      <w:pPr>
        <w:tabs>
          <w:tab w:val="left" w:pos="2436"/>
          <w:tab w:val="left" w:pos="4873"/>
          <w:tab w:val="left" w:pos="7309"/>
        </w:tabs>
        <w:spacing w:line="360" w:lineRule="auto"/>
        <w:jc w:val="left"/>
        <w:textAlignment w:val="center"/>
      </w:pPr>
      <w:r>
        <w:t xml:space="preserve">A. </w:t>
      </w:r>
      <w:r>
        <w:rPr>
          <w:rFonts w:ascii="宋体" w:hAnsi="宋体"/>
        </w:rPr>
        <w:t>土库曼斯坦</w:t>
      </w:r>
      <w:r>
        <w:tab/>
      </w:r>
      <w:r>
        <w:t xml:space="preserve">B. </w:t>
      </w:r>
      <w:r>
        <w:rPr>
          <w:rFonts w:ascii="宋体" w:hAnsi="宋体"/>
        </w:rPr>
        <w:t>哈萨克斯坦</w:t>
      </w:r>
      <w:r>
        <w:tab/>
      </w:r>
      <w:r>
        <w:t xml:space="preserve">C. </w:t>
      </w:r>
      <w:r>
        <w:rPr>
          <w:rFonts w:ascii="宋体" w:hAnsi="宋体"/>
        </w:rPr>
        <w:t>吉尔吉斯斯坦</w:t>
      </w:r>
      <w:r>
        <w:tab/>
      </w:r>
      <w:r>
        <w:t xml:space="preserve">D. </w:t>
      </w:r>
      <w:r>
        <w:rPr>
          <w:rFonts w:ascii="宋体" w:hAnsi="宋体"/>
        </w:rPr>
        <w:t>塔吉克斯坦</w:t>
      </w:r>
    </w:p>
    <w:p w14:paraId="6B02D7A0">
      <w:pPr>
        <w:spacing w:line="360" w:lineRule="auto"/>
        <w:jc w:val="left"/>
        <w:textAlignment w:val="center"/>
      </w:pPr>
      <w:r>
        <w:t xml:space="preserve">2. </w:t>
      </w:r>
      <w:r>
        <w:rPr>
          <w:rFonts w:ascii="宋体" w:hAnsi="宋体"/>
        </w:rPr>
        <w:t>影响中亚东南部地区人口较密集的主要自然因素是（   ）</w:t>
      </w:r>
    </w:p>
    <w:p w14:paraId="6716FD93">
      <w:pPr>
        <w:tabs>
          <w:tab w:val="left" w:pos="2436"/>
          <w:tab w:val="left" w:pos="4873"/>
          <w:tab w:val="left" w:pos="7309"/>
        </w:tabs>
        <w:spacing w:line="360" w:lineRule="auto"/>
        <w:jc w:val="left"/>
        <w:textAlignment w:val="center"/>
        <w:rPr>
          <w:color w:val="000000"/>
        </w:rPr>
      </w:pPr>
      <w:r>
        <w:t xml:space="preserve">A. </w:t>
      </w:r>
      <w:r>
        <w:rPr>
          <w:rFonts w:ascii="宋体" w:hAnsi="宋体"/>
        </w:rPr>
        <w:t>热量</w:t>
      </w:r>
      <w:r>
        <w:tab/>
      </w:r>
      <w:r>
        <w:t xml:space="preserve">B. </w:t>
      </w:r>
      <w:r>
        <w:rPr>
          <w:rFonts w:ascii="宋体" w:hAnsi="宋体"/>
        </w:rPr>
        <w:t>矿产</w:t>
      </w:r>
      <w:r>
        <w:tab/>
      </w:r>
      <w:r>
        <w:t xml:space="preserve">C. </w:t>
      </w:r>
      <w:r>
        <w:rPr>
          <w:rFonts w:ascii="宋体" w:hAnsi="宋体"/>
        </w:rPr>
        <w:t>水源</w:t>
      </w:r>
      <w:r>
        <w:tab/>
      </w:r>
      <w:r>
        <w:t xml:space="preserve">D. </w:t>
      </w:r>
      <w:r>
        <w:rPr>
          <w:rFonts w:ascii="宋体" w:hAnsi="宋体"/>
        </w:rPr>
        <w:t>土壤</w:t>
      </w:r>
    </w:p>
    <w:p w14:paraId="780AD255">
      <w:pPr>
        <w:spacing w:line="360" w:lineRule="auto"/>
        <w:ind w:firstLine="420"/>
        <w:jc w:val="left"/>
        <w:textAlignment w:val="center"/>
        <w:rPr>
          <w:color w:val="000000"/>
        </w:rPr>
      </w:pPr>
      <w:r>
        <w:rPr>
          <w:rFonts w:ascii="楷体" w:hAnsi="楷体" w:eastAsia="楷体" w:cs="楷体"/>
          <w:color w:val="000000"/>
        </w:rPr>
        <w:t>新疆东部某雅丹地貌区，环境恶劣，被视为“畏途”。某同学随科考人员在该地研学旅行时，拍摄了布满“小蘑菇”的残丘岩壁照片（如图所示）。完成下面小题。</w:t>
      </w:r>
    </w:p>
    <w:p w14:paraId="5233F03A">
      <w:pPr>
        <w:spacing w:line="360" w:lineRule="auto"/>
        <w:jc w:val="left"/>
        <w:textAlignment w:val="center"/>
        <w:rPr>
          <w:color w:val="000000"/>
        </w:rPr>
      </w:pPr>
      <w:r>
        <w:rPr>
          <w:color w:val="000000"/>
        </w:rPr>
        <w:drawing>
          <wp:inline distT="0" distB="0" distL="0" distR="0">
            <wp:extent cx="2600325" cy="22764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600325" cy="2276475"/>
                    </a:xfrm>
                    <a:prstGeom prst="rect">
                      <a:avLst/>
                    </a:prstGeom>
                  </pic:spPr>
                </pic:pic>
              </a:graphicData>
            </a:graphic>
          </wp:inline>
        </w:drawing>
      </w:r>
    </w:p>
    <w:p w14:paraId="2D93C9E5">
      <w:pPr>
        <w:spacing w:line="360" w:lineRule="auto"/>
        <w:jc w:val="left"/>
        <w:textAlignment w:val="center"/>
        <w:rPr>
          <w:color w:val="000000"/>
        </w:rPr>
      </w:pPr>
      <w:r>
        <w:rPr>
          <w:color w:val="000000"/>
        </w:rPr>
        <w:t xml:space="preserve">3. </w:t>
      </w:r>
      <w:r>
        <w:rPr>
          <w:rFonts w:ascii="宋体" w:hAnsi="宋体"/>
          <w:color w:val="000000"/>
        </w:rPr>
        <w:t>岩壁上“小蘑菇”形成的主要外力作用为（   ）</w:t>
      </w:r>
    </w:p>
    <w:p w14:paraId="19B534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沉积搬运</w:t>
      </w:r>
      <w:r>
        <w:rPr>
          <w:color w:val="000000"/>
        </w:rPr>
        <w:tab/>
      </w:r>
      <w:r>
        <w:rPr>
          <w:color w:val="000000"/>
        </w:rPr>
        <w:t xml:space="preserve">B. </w:t>
      </w:r>
      <w:r>
        <w:rPr>
          <w:rFonts w:ascii="宋体" w:hAnsi="宋体"/>
          <w:color w:val="000000"/>
        </w:rPr>
        <w:t>搬运风化</w:t>
      </w:r>
      <w:r>
        <w:rPr>
          <w:color w:val="000000"/>
        </w:rPr>
        <w:tab/>
      </w:r>
      <w:r>
        <w:rPr>
          <w:color w:val="000000"/>
        </w:rPr>
        <w:t xml:space="preserve">C. </w:t>
      </w:r>
      <w:r>
        <w:rPr>
          <w:rFonts w:ascii="宋体" w:hAnsi="宋体"/>
          <w:color w:val="000000"/>
        </w:rPr>
        <w:t>风化侵蚀</w:t>
      </w:r>
      <w:r>
        <w:rPr>
          <w:color w:val="000000"/>
        </w:rPr>
        <w:tab/>
      </w:r>
      <w:r>
        <w:rPr>
          <w:color w:val="000000"/>
        </w:rPr>
        <w:t xml:space="preserve">D. </w:t>
      </w:r>
      <w:r>
        <w:rPr>
          <w:rFonts w:ascii="宋体" w:hAnsi="宋体"/>
          <w:color w:val="000000"/>
        </w:rPr>
        <w:t>侵蚀沉积</w:t>
      </w:r>
    </w:p>
    <w:p w14:paraId="57AA0CF2">
      <w:pPr>
        <w:spacing w:line="360" w:lineRule="auto"/>
        <w:jc w:val="left"/>
        <w:textAlignment w:val="center"/>
        <w:rPr>
          <w:color w:val="000000"/>
        </w:rPr>
      </w:pPr>
      <w:r>
        <w:rPr>
          <w:color w:val="000000"/>
        </w:rPr>
        <w:t xml:space="preserve">4. </w:t>
      </w:r>
      <w:r>
        <w:rPr>
          <w:rFonts w:ascii="宋体" w:hAnsi="宋体"/>
          <w:color w:val="000000"/>
        </w:rPr>
        <w:t>该雅丹地貌区被视为“畏途”的主要原因是（   ）</w:t>
      </w:r>
    </w:p>
    <w:p w14:paraId="31BF92B5">
      <w:pPr>
        <w:spacing w:line="360" w:lineRule="auto"/>
        <w:jc w:val="left"/>
        <w:textAlignment w:val="center"/>
        <w:rPr>
          <w:color w:val="000000"/>
        </w:rPr>
      </w:pPr>
      <w:r>
        <w:rPr>
          <w:rFonts w:ascii="宋体" w:hAnsi="宋体"/>
          <w:color w:val="000000"/>
        </w:rPr>
        <w:t>①空气稀薄②风沙强劲③气候极度干旱④滑坡分布广</w:t>
      </w:r>
    </w:p>
    <w:p w14:paraId="1D6BE7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4FA56000">
      <w:pPr>
        <w:spacing w:line="360" w:lineRule="auto"/>
        <w:ind w:firstLine="420"/>
        <w:jc w:val="left"/>
        <w:textAlignment w:val="center"/>
        <w:rPr>
          <w:color w:val="000000"/>
        </w:rPr>
      </w:pPr>
      <w:r>
        <w:rPr>
          <w:rFonts w:ascii="楷体" w:hAnsi="楷体" w:eastAsia="楷体" w:cs="楷体"/>
          <w:color w:val="000000"/>
        </w:rPr>
        <w:t>生态系统生产总值（GEP）是指生态系统能够为人类生活和社会发展提供的最终产品与服务价值的总和，由物质产品、调节服务和文化服务构成，2019年海南热带雨林国家公园GEP高达2045亿元，其各项价值量占比如图所示。完成下面小题。</w:t>
      </w:r>
    </w:p>
    <w:p w14:paraId="1660B7E5">
      <w:pPr>
        <w:spacing w:line="360" w:lineRule="auto"/>
        <w:jc w:val="left"/>
        <w:textAlignment w:val="center"/>
        <w:rPr>
          <w:color w:val="000000"/>
        </w:rPr>
      </w:pPr>
      <w:r>
        <w:rPr>
          <w:color w:val="000000"/>
        </w:rPr>
        <w:drawing>
          <wp:inline distT="0" distB="0" distL="0" distR="0">
            <wp:extent cx="4362450" cy="1790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362450" cy="1790700"/>
                    </a:xfrm>
                    <a:prstGeom prst="rect">
                      <a:avLst/>
                    </a:prstGeom>
                  </pic:spPr>
                </pic:pic>
              </a:graphicData>
            </a:graphic>
          </wp:inline>
        </w:drawing>
      </w:r>
    </w:p>
    <w:p w14:paraId="177B8225">
      <w:pPr>
        <w:spacing w:line="360" w:lineRule="auto"/>
        <w:jc w:val="left"/>
        <w:textAlignment w:val="center"/>
        <w:rPr>
          <w:color w:val="000000"/>
        </w:rPr>
      </w:pPr>
      <w:r>
        <w:rPr>
          <w:color w:val="000000"/>
        </w:rPr>
        <w:t xml:space="preserve">5. </w:t>
      </w:r>
      <w:r>
        <w:rPr>
          <w:rFonts w:ascii="宋体" w:hAnsi="宋体"/>
          <w:color w:val="000000"/>
        </w:rPr>
        <w:t>属于图中“其它”项目的是（   ）</w:t>
      </w:r>
    </w:p>
    <w:p w14:paraId="783C708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农林产品</w:t>
      </w:r>
      <w:r>
        <w:rPr>
          <w:color w:val="000000"/>
        </w:rPr>
        <w:tab/>
      </w:r>
      <w:r>
        <w:rPr>
          <w:color w:val="000000"/>
        </w:rPr>
        <w:t xml:space="preserve">B. </w:t>
      </w:r>
      <w:r>
        <w:rPr>
          <w:rFonts w:ascii="宋体" w:hAnsi="宋体"/>
          <w:color w:val="000000"/>
        </w:rPr>
        <w:t>科普教育</w:t>
      </w:r>
      <w:r>
        <w:rPr>
          <w:color w:val="000000"/>
        </w:rPr>
        <w:tab/>
      </w:r>
      <w:r>
        <w:rPr>
          <w:color w:val="000000"/>
        </w:rPr>
        <w:t xml:space="preserve">C. </w:t>
      </w:r>
      <w:r>
        <w:rPr>
          <w:rFonts w:ascii="宋体" w:hAnsi="宋体"/>
          <w:color w:val="000000"/>
        </w:rPr>
        <w:t>休闲旅游</w:t>
      </w:r>
      <w:r>
        <w:rPr>
          <w:color w:val="000000"/>
        </w:rPr>
        <w:tab/>
      </w:r>
      <w:r>
        <w:rPr>
          <w:color w:val="000000"/>
        </w:rPr>
        <w:t xml:space="preserve">D. </w:t>
      </w:r>
      <w:r>
        <w:rPr>
          <w:rFonts w:ascii="宋体" w:hAnsi="宋体"/>
          <w:color w:val="000000"/>
        </w:rPr>
        <w:t>净化空气</w:t>
      </w:r>
    </w:p>
    <w:p w14:paraId="41B5AF87">
      <w:pPr>
        <w:spacing w:line="360" w:lineRule="auto"/>
        <w:jc w:val="left"/>
        <w:textAlignment w:val="center"/>
        <w:rPr>
          <w:color w:val="000000"/>
        </w:rPr>
      </w:pPr>
      <w:r>
        <w:rPr>
          <w:color w:val="000000"/>
        </w:rPr>
        <w:t xml:space="preserve">6. </w:t>
      </w:r>
      <w:r>
        <w:rPr>
          <w:rFonts w:ascii="宋体" w:hAnsi="宋体"/>
          <w:color w:val="000000"/>
        </w:rPr>
        <w:t>该公园GEP高的主要原因是（   ）</w:t>
      </w:r>
    </w:p>
    <w:p w14:paraId="721BA8C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0" distR="0">
            <wp:extent cx="31750" cy="889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土壤肥力高</w:t>
      </w:r>
      <w:r>
        <w:rPr>
          <w:color w:val="000000"/>
        </w:rPr>
        <w:tab/>
      </w:r>
      <w:r>
        <w:rPr>
          <w:color w:val="000000"/>
        </w:rPr>
        <w:t xml:space="preserve">B. </w:t>
      </w:r>
      <w:r>
        <w:rPr>
          <w:rFonts w:ascii="宋体" w:hAnsi="宋体"/>
          <w:color w:val="000000"/>
        </w:rPr>
        <w:t>科研价值高</w:t>
      </w:r>
      <w:r>
        <w:rPr>
          <w:color w:val="000000"/>
        </w:rPr>
        <w:tab/>
      </w:r>
      <w:r>
        <w:rPr>
          <w:color w:val="000000"/>
        </w:rPr>
        <w:t xml:space="preserve">C. </w:t>
      </w:r>
      <w:r>
        <w:rPr>
          <w:rFonts w:ascii="宋体" w:hAnsi="宋体"/>
          <w:color w:val="000000"/>
        </w:rPr>
        <w:t>森林面积大</w:t>
      </w:r>
      <w:r>
        <w:rPr>
          <w:color w:val="000000"/>
        </w:rPr>
        <w:tab/>
      </w:r>
      <w:r>
        <w:rPr>
          <w:color w:val="000000"/>
        </w:rPr>
        <w:t xml:space="preserve">D. </w:t>
      </w:r>
      <w:r>
        <w:rPr>
          <w:rFonts w:ascii="宋体" w:hAnsi="宋体"/>
          <w:color w:val="000000"/>
        </w:rPr>
        <w:t>纬度跨度大</w:t>
      </w:r>
    </w:p>
    <w:p w14:paraId="2A26D939">
      <w:pPr>
        <w:spacing w:line="360" w:lineRule="auto"/>
        <w:ind w:firstLine="420"/>
        <w:jc w:val="left"/>
        <w:textAlignment w:val="center"/>
        <w:rPr>
          <w:color w:val="000000"/>
        </w:rPr>
      </w:pPr>
      <w:r>
        <w:rPr>
          <w:rFonts w:ascii="楷体" w:hAnsi="楷体" w:eastAsia="楷体" w:cs="楷体"/>
          <w:color w:val="000000"/>
        </w:rPr>
        <w:t>读8月世界局部海洋表层盐度分布图。完成下面小题。</w:t>
      </w:r>
    </w:p>
    <w:p w14:paraId="2F682E29">
      <w:pPr>
        <w:spacing w:line="360" w:lineRule="auto"/>
        <w:jc w:val="left"/>
        <w:textAlignment w:val="center"/>
        <w:rPr>
          <w:color w:val="000000"/>
        </w:rPr>
      </w:pPr>
      <w:r>
        <w:rPr>
          <w:color w:val="000000"/>
        </w:rPr>
        <w:drawing>
          <wp:inline distT="0" distB="0" distL="0" distR="0">
            <wp:extent cx="4086225" cy="2305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086225" cy="2305050"/>
                    </a:xfrm>
                    <a:prstGeom prst="rect">
                      <a:avLst/>
                    </a:prstGeom>
                  </pic:spPr>
                </pic:pic>
              </a:graphicData>
            </a:graphic>
          </wp:inline>
        </w:drawing>
      </w:r>
    </w:p>
    <w:p w14:paraId="4ABF9530">
      <w:pPr>
        <w:spacing w:line="360" w:lineRule="auto"/>
        <w:jc w:val="left"/>
        <w:textAlignment w:val="center"/>
        <w:rPr>
          <w:color w:val="000000"/>
        </w:rPr>
      </w:pPr>
      <w:r>
        <w:rPr>
          <w:color w:val="000000"/>
        </w:rPr>
        <w:t xml:space="preserve">7. </w:t>
      </w:r>
      <w:r>
        <w:rPr>
          <w:rFonts w:ascii="宋体" w:hAnsi="宋体"/>
          <w:color w:val="000000"/>
        </w:rPr>
        <w:t>P、Q附近洋流对流经地区的影响是（   ）</w:t>
      </w:r>
    </w:p>
    <w:p w14:paraId="32CB38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P沿岸降水增多</w:t>
      </w:r>
      <w:r>
        <w:rPr>
          <w:color w:val="000000"/>
        </w:rPr>
        <w:tab/>
      </w:r>
      <w:r>
        <w:rPr>
          <w:color w:val="000000"/>
        </w:rPr>
        <w:t xml:space="preserve">B. </w:t>
      </w:r>
      <w:r>
        <w:rPr>
          <w:rFonts w:ascii="宋体" w:hAnsi="宋体"/>
          <w:color w:val="000000"/>
        </w:rPr>
        <w:t>Q附近海水温度降低</w:t>
      </w:r>
      <w:r>
        <w:rPr>
          <w:color w:val="000000"/>
        </w:rPr>
        <w:tab/>
      </w:r>
      <w:r>
        <w:rPr>
          <w:color w:val="000000"/>
        </w:rPr>
        <w:t xml:space="preserve">C. </w:t>
      </w:r>
      <w:r>
        <w:rPr>
          <w:rFonts w:ascii="宋体" w:hAnsi="宋体"/>
          <w:color w:val="000000"/>
        </w:rPr>
        <w:t>Q沿岸降水减少</w:t>
      </w:r>
      <w:r>
        <w:rPr>
          <w:color w:val="000000"/>
        </w:rPr>
        <w:tab/>
      </w:r>
      <w:r>
        <w:rPr>
          <w:color w:val="000000"/>
        </w:rPr>
        <w:t xml:space="preserve">D. </w:t>
      </w:r>
      <w:r>
        <w:rPr>
          <w:rFonts w:ascii="宋体" w:hAnsi="宋体"/>
          <w:color w:val="000000"/>
        </w:rPr>
        <w:t>P附近海水温度降低</w:t>
      </w:r>
    </w:p>
    <w:p w14:paraId="39401C84">
      <w:pPr>
        <w:spacing w:line="360" w:lineRule="auto"/>
        <w:jc w:val="left"/>
        <w:textAlignment w:val="center"/>
        <w:rPr>
          <w:color w:val="000000"/>
        </w:rPr>
      </w:pPr>
      <w:r>
        <w:rPr>
          <w:color w:val="000000"/>
        </w:rPr>
        <w:t xml:space="preserve">8. </w:t>
      </w:r>
      <w:r>
        <w:rPr>
          <w:rFonts w:ascii="宋体" w:hAnsi="宋体"/>
          <w:color w:val="000000"/>
        </w:rPr>
        <w:t>导致P、Q海域等盐度线向高值方向凸出的主要因素分别是（   ）</w:t>
      </w:r>
    </w:p>
    <w:p w14:paraId="6B92BDE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洋流、洋流</w:t>
      </w:r>
      <w:r>
        <w:rPr>
          <w:color w:val="000000"/>
        </w:rPr>
        <w:tab/>
      </w:r>
      <w:r>
        <w:rPr>
          <w:color w:val="000000"/>
        </w:rPr>
        <w:t xml:space="preserve">B. </w:t>
      </w:r>
      <w:r>
        <w:rPr>
          <w:rFonts w:ascii="宋体" w:hAnsi="宋体"/>
          <w:color w:val="000000"/>
        </w:rPr>
        <w:t>纬度、洋流</w:t>
      </w:r>
      <w:r>
        <w:rPr>
          <w:color w:val="000000"/>
        </w:rPr>
        <w:tab/>
      </w:r>
      <w:r>
        <w:rPr>
          <w:color w:val="000000"/>
        </w:rPr>
        <w:t xml:space="preserve">C. </w:t>
      </w:r>
      <w:r>
        <w:rPr>
          <w:rFonts w:ascii="宋体" w:hAnsi="宋体"/>
          <w:color w:val="000000"/>
        </w:rPr>
        <w:t>径流、纬度</w:t>
      </w:r>
      <w:r>
        <w:rPr>
          <w:color w:val="000000"/>
        </w:rPr>
        <w:tab/>
      </w:r>
      <w:r>
        <w:rPr>
          <w:color w:val="000000"/>
        </w:rPr>
        <w:t xml:space="preserve">D. </w:t>
      </w:r>
      <w:r>
        <w:rPr>
          <w:rFonts w:ascii="宋体" w:hAnsi="宋体"/>
          <w:color w:val="000000"/>
        </w:rPr>
        <w:t>洋流、径流</w:t>
      </w:r>
    </w:p>
    <w:p w14:paraId="778C51D5">
      <w:pPr>
        <w:spacing w:line="360" w:lineRule="auto"/>
        <w:ind w:firstLine="420"/>
        <w:jc w:val="left"/>
        <w:textAlignment w:val="center"/>
        <w:rPr>
          <w:color w:val="000000"/>
        </w:rPr>
      </w:pPr>
      <w:r>
        <w:rPr>
          <w:rFonts w:ascii="楷体" w:hAnsi="楷体" w:eastAsia="楷体" w:cs="楷体"/>
          <w:color w:val="000000"/>
        </w:rPr>
        <w:t>为让广大消费者吃上放心菜，以地理信息技术为依托搭建的某网络平台，吸引了众多莱农加入。消费者扫描二维码就可获取蔬菜的播种、施肥、采摘和运送等信息。下图示意菜农、物流公司、消费者与网络平台的关系。完成下面小题。</w:t>
      </w:r>
    </w:p>
    <w:p w14:paraId="5D2C4F97">
      <w:pPr>
        <w:spacing w:line="360" w:lineRule="auto"/>
        <w:jc w:val="left"/>
        <w:textAlignment w:val="center"/>
        <w:rPr>
          <w:color w:val="000000"/>
        </w:rPr>
      </w:pPr>
      <w:r>
        <w:rPr>
          <w:color w:val="000000"/>
        </w:rPr>
        <w:drawing>
          <wp:inline distT="0" distB="0" distL="0" distR="0">
            <wp:extent cx="2409825" cy="1752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09825" cy="1752600"/>
                    </a:xfrm>
                    <a:prstGeom prst="rect">
                      <a:avLst/>
                    </a:prstGeom>
                  </pic:spPr>
                </pic:pic>
              </a:graphicData>
            </a:graphic>
          </wp:inline>
        </w:drawing>
      </w:r>
    </w:p>
    <w:p w14:paraId="07F62D66">
      <w:pPr>
        <w:spacing w:line="360" w:lineRule="auto"/>
        <w:jc w:val="left"/>
        <w:textAlignment w:val="center"/>
        <w:rPr>
          <w:color w:val="000000"/>
        </w:rPr>
      </w:pPr>
      <w:r>
        <w:rPr>
          <w:color w:val="000000"/>
        </w:rPr>
        <w:t xml:space="preserve">9. </w:t>
      </w:r>
      <w:r>
        <w:rPr>
          <w:rFonts w:ascii="宋体" w:hAnsi="宋体"/>
          <w:color w:val="000000"/>
        </w:rPr>
        <w:t>与传统产销相比，该蔬菜产销模式中显著变化的区位因素是（   ）</w:t>
      </w:r>
    </w:p>
    <w:p w14:paraId="0A3857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市场、技术</w:t>
      </w:r>
      <w:r>
        <w:rPr>
          <w:color w:val="000000"/>
        </w:rPr>
        <w:tab/>
      </w:r>
      <w:r>
        <w:rPr>
          <w:color w:val="000000"/>
        </w:rPr>
        <w:t xml:space="preserve">B. </w:t>
      </w:r>
      <w:r>
        <w:rPr>
          <w:rFonts w:ascii="宋体" w:hAnsi="宋体"/>
          <w:color w:val="000000"/>
        </w:rPr>
        <w:t>交通、劳动力</w:t>
      </w:r>
      <w:r>
        <w:rPr>
          <w:color w:val="000000"/>
        </w:rPr>
        <w:tab/>
      </w:r>
      <w:r>
        <w:rPr>
          <w:color w:val="000000"/>
        </w:rPr>
        <w:t xml:space="preserve">C. </w:t>
      </w:r>
      <w:r>
        <w:rPr>
          <w:rFonts w:ascii="宋体" w:hAnsi="宋体"/>
          <w:color w:val="000000"/>
        </w:rPr>
        <w:t>政策、技术</w:t>
      </w:r>
      <w:r>
        <w:rPr>
          <w:color w:val="000000"/>
        </w:rPr>
        <w:tab/>
      </w:r>
      <w:r>
        <w:rPr>
          <w:color w:val="000000"/>
        </w:rPr>
        <w:t xml:space="preserve">D. </w:t>
      </w:r>
      <w:r>
        <w:rPr>
          <w:rFonts w:ascii="宋体" w:hAnsi="宋体"/>
          <w:color w:val="000000"/>
        </w:rPr>
        <w:t>政策、劳动力</w:t>
      </w:r>
    </w:p>
    <w:p w14:paraId="2E8F3012">
      <w:pPr>
        <w:spacing w:line="360" w:lineRule="auto"/>
        <w:jc w:val="left"/>
        <w:textAlignment w:val="center"/>
        <w:rPr>
          <w:color w:val="000000"/>
        </w:rPr>
      </w:pPr>
      <w:r>
        <w:rPr>
          <w:color w:val="000000"/>
        </w:rPr>
        <w:t xml:space="preserve">10. </w:t>
      </w:r>
      <w:r>
        <w:rPr>
          <w:rFonts w:ascii="宋体" w:hAnsi="宋体"/>
          <w:color w:val="000000"/>
        </w:rPr>
        <w:t>该网络平台高效运行主要得益于（   ）</w:t>
      </w:r>
    </w:p>
    <w:p w14:paraId="4633EF44">
      <w:pPr>
        <w:tabs>
          <w:tab w:val="left" w:pos="4873"/>
        </w:tabs>
        <w:spacing w:line="360" w:lineRule="auto"/>
        <w:jc w:val="left"/>
        <w:textAlignment w:val="center"/>
        <w:rPr>
          <w:color w:val="000000"/>
        </w:rPr>
      </w:pPr>
      <w:r>
        <w:rPr>
          <w:color w:val="000000"/>
        </w:rPr>
        <w:t xml:space="preserve">A. </w:t>
      </w:r>
      <w:r>
        <w:rPr>
          <w:rFonts w:ascii="宋体" w:hAnsi="宋体"/>
          <w:color w:val="000000"/>
        </w:rPr>
        <w:t>遥感技术为物流公司提供蔬菜品质信息</w:t>
      </w:r>
      <w:r>
        <w:rPr>
          <w:color w:val="000000"/>
        </w:rPr>
        <w:tab/>
      </w:r>
      <w:r>
        <w:rPr>
          <w:color w:val="000000"/>
        </w:rPr>
        <w:t xml:space="preserve">B. </w:t>
      </w:r>
      <w:r>
        <w:rPr>
          <w:rFonts w:ascii="宋体" w:hAnsi="宋体"/>
          <w:color w:val="000000"/>
        </w:rPr>
        <w:t>地理信息系统为菜农提供蔬菜长势信息</w:t>
      </w:r>
    </w:p>
    <w:p w14:paraId="516EDD8B">
      <w:pPr>
        <w:tabs>
          <w:tab w:val="left" w:pos="4873"/>
        </w:tabs>
        <w:spacing w:line="360" w:lineRule="auto"/>
        <w:jc w:val="left"/>
        <w:textAlignment w:val="center"/>
        <w:rPr>
          <w:color w:val="000000"/>
        </w:rPr>
      </w:pPr>
      <w:r>
        <w:rPr>
          <w:color w:val="000000"/>
        </w:rPr>
        <w:t xml:space="preserve">C. </w:t>
      </w:r>
      <w:r>
        <w:rPr>
          <w:rFonts w:ascii="宋体" w:hAnsi="宋体"/>
          <w:color w:val="000000"/>
        </w:rPr>
        <w:t>遥感技术为网络平台提供蔬菜种子来源信息</w:t>
      </w:r>
      <w:r>
        <w:rPr>
          <w:color w:val="000000"/>
        </w:rPr>
        <w:tab/>
      </w:r>
      <w:r>
        <w:rPr>
          <w:color w:val="000000"/>
        </w:rPr>
        <w:t xml:space="preserve">D. </w:t>
      </w:r>
      <w:r>
        <w:rPr>
          <w:rFonts w:ascii="宋体" w:hAnsi="宋体"/>
          <w:color w:val="000000"/>
        </w:rPr>
        <w:t>北斗卫星导航系统为消费者提供蔬菜运送信息</w:t>
      </w:r>
    </w:p>
    <w:p w14:paraId="2535EF2B">
      <w:pPr>
        <w:spacing w:line="360" w:lineRule="auto"/>
        <w:ind w:firstLine="420"/>
        <w:jc w:val="left"/>
        <w:textAlignment w:val="center"/>
        <w:rPr>
          <w:color w:val="000000"/>
        </w:rPr>
      </w:pPr>
      <w:r>
        <w:rPr>
          <w:rFonts w:ascii="楷体" w:hAnsi="楷体" w:eastAsia="楷体" w:cs="楷体"/>
          <w:color w:val="000000"/>
        </w:rPr>
        <w:t>建设大型清洁能源基地是我国“十四五”规划的重要目标之一，下图为部分清洁能源基地分布示意图。完成下面小题。</w:t>
      </w:r>
    </w:p>
    <w:p w14:paraId="21251E03">
      <w:pPr>
        <w:spacing w:line="360" w:lineRule="auto"/>
        <w:jc w:val="left"/>
        <w:textAlignment w:val="center"/>
        <w:rPr>
          <w:color w:val="000000"/>
        </w:rPr>
      </w:pPr>
      <w:r>
        <w:rPr>
          <w:color w:val="000000"/>
        </w:rPr>
        <w:drawing>
          <wp:inline distT="0" distB="0" distL="0" distR="0">
            <wp:extent cx="3800475" cy="2152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800475" cy="2152650"/>
                    </a:xfrm>
                    <a:prstGeom prst="rect">
                      <a:avLst/>
                    </a:prstGeom>
                  </pic:spPr>
                </pic:pic>
              </a:graphicData>
            </a:graphic>
          </wp:inline>
        </w:drawing>
      </w:r>
    </w:p>
    <w:p w14:paraId="27FD2751">
      <w:pPr>
        <w:spacing w:line="360" w:lineRule="auto"/>
        <w:jc w:val="left"/>
        <w:textAlignment w:val="center"/>
        <w:rPr>
          <w:color w:val="000000"/>
        </w:rPr>
      </w:pPr>
      <w:r>
        <w:rPr>
          <w:color w:val="000000"/>
        </w:rPr>
        <w:t xml:space="preserve">11. </w:t>
      </w:r>
      <w:r>
        <w:rPr>
          <w:rFonts w:ascii="宋体" w:hAnsi="宋体"/>
          <w:color w:val="000000"/>
        </w:rPr>
        <w:t>图中三大能源基地共同的主要清洁能源是（   ）</w:t>
      </w:r>
    </w:p>
    <w:p w14:paraId="35DA1A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核能水能</w:t>
      </w:r>
      <w:r>
        <w:rPr>
          <w:color w:val="000000"/>
        </w:rPr>
        <w:tab/>
      </w:r>
      <w:r>
        <w:rPr>
          <w:color w:val="000000"/>
        </w:rPr>
        <w:t xml:space="preserve">B. </w:t>
      </w:r>
      <w:r>
        <w:rPr>
          <w:rFonts w:ascii="宋体" w:hAnsi="宋体"/>
          <w:color w:val="000000"/>
        </w:rPr>
        <w:t>风能火电</w:t>
      </w:r>
      <w:r>
        <w:rPr>
          <w:color w:val="000000"/>
        </w:rPr>
        <w:tab/>
      </w:r>
      <w:r>
        <w:rPr>
          <w:color w:val="000000"/>
        </w:rPr>
        <w:t xml:space="preserve">C. </w:t>
      </w:r>
      <w:r>
        <w:rPr>
          <w:rFonts w:ascii="宋体" w:hAnsi="宋体"/>
          <w:color w:val="000000"/>
        </w:rPr>
        <w:t>水能地热</w:t>
      </w:r>
      <w:r>
        <w:rPr>
          <w:color w:val="000000"/>
        </w:rPr>
        <w:tab/>
      </w:r>
      <w:r>
        <w:rPr>
          <w:color w:val="000000"/>
        </w:rPr>
        <w:t xml:space="preserve">D. </w:t>
      </w:r>
      <w:r>
        <w:rPr>
          <w:rFonts w:ascii="宋体" w:hAnsi="宋体"/>
          <w:color w:val="000000"/>
        </w:rPr>
        <w:t>风能太阳能</w:t>
      </w:r>
    </w:p>
    <w:p w14:paraId="0B2B22B1">
      <w:pPr>
        <w:spacing w:line="360" w:lineRule="auto"/>
        <w:jc w:val="left"/>
        <w:textAlignment w:val="center"/>
        <w:rPr>
          <w:color w:val="000000"/>
        </w:rPr>
      </w:pPr>
      <w:r>
        <w:rPr>
          <w:color w:val="000000"/>
        </w:rPr>
        <w:t xml:space="preserve">12. </w:t>
      </w:r>
      <w:r>
        <w:rPr>
          <w:rFonts w:ascii="宋体" w:hAnsi="宋体"/>
          <w:color w:val="000000"/>
        </w:rPr>
        <w:t>我国建设大型清洁能源基地可以（   ）</w:t>
      </w:r>
    </w:p>
    <w:p w14:paraId="10DE9A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促进低碳能源发展</w:t>
      </w:r>
      <w:r>
        <w:rPr>
          <w:color w:val="000000"/>
        </w:rPr>
        <w:tab/>
      </w:r>
      <w:r>
        <w:rPr>
          <w:color w:val="000000"/>
        </w:rPr>
        <w:t xml:space="preserve">B. </w:t>
      </w:r>
      <w:r>
        <w:rPr>
          <w:rFonts w:ascii="宋体" w:hAnsi="宋体"/>
          <w:color w:val="000000"/>
        </w:rPr>
        <w:t>改变能源资源分布</w:t>
      </w:r>
      <w:r>
        <w:rPr>
          <w:color w:val="000000"/>
        </w:rPr>
        <w:tab/>
      </w:r>
      <w:r>
        <w:rPr>
          <w:color w:val="000000"/>
        </w:rPr>
        <w:t xml:space="preserve">C. </w:t>
      </w:r>
      <w:r>
        <w:rPr>
          <w:rFonts w:ascii="宋体" w:hAnsi="宋体"/>
          <w:color w:val="000000"/>
        </w:rPr>
        <w:t>控制能源消费总量</w:t>
      </w:r>
      <w:r>
        <w:rPr>
          <w:color w:val="000000"/>
        </w:rPr>
        <w:tab/>
      </w:r>
      <w:r>
        <w:rPr>
          <w:color w:val="000000"/>
        </w:rPr>
        <w:t xml:space="preserve">D. </w:t>
      </w:r>
      <w:r>
        <w:rPr>
          <w:rFonts w:ascii="宋体" w:hAnsi="宋体"/>
          <w:color w:val="000000"/>
        </w:rPr>
        <w:t>缩短能源输送距离</w:t>
      </w:r>
    </w:p>
    <w:p w14:paraId="46E63ECF">
      <w:pPr>
        <w:spacing w:line="360" w:lineRule="auto"/>
        <w:ind w:firstLine="420"/>
        <w:jc w:val="left"/>
        <w:textAlignment w:val="center"/>
        <w:rPr>
          <w:color w:val="000000"/>
        </w:rPr>
      </w:pPr>
      <w:r>
        <w:rPr>
          <w:rFonts w:ascii="楷体" w:hAnsi="楷体" w:eastAsia="楷体" w:cs="楷体"/>
          <w:color w:val="000000"/>
        </w:rPr>
        <w:t>下图为某地地质图，完成下面小题</w:t>
      </w:r>
    </w:p>
    <w:p w14:paraId="0A0460D9">
      <w:pPr>
        <w:spacing w:line="360" w:lineRule="auto"/>
        <w:jc w:val="left"/>
        <w:textAlignment w:val="center"/>
        <w:rPr>
          <w:color w:val="000000"/>
        </w:rPr>
      </w:pPr>
      <w:r>
        <w:rPr>
          <w:color w:val="000000"/>
        </w:rPr>
        <w:drawing>
          <wp:inline distT="0" distB="0" distL="0" distR="0">
            <wp:extent cx="4000500" cy="2066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000500" cy="2066925"/>
                    </a:xfrm>
                    <a:prstGeom prst="rect">
                      <a:avLst/>
                    </a:prstGeom>
                  </pic:spPr>
                </pic:pic>
              </a:graphicData>
            </a:graphic>
          </wp:inline>
        </w:drawing>
      </w:r>
    </w:p>
    <w:p w14:paraId="6504098C">
      <w:pPr>
        <w:spacing w:line="360" w:lineRule="auto"/>
        <w:jc w:val="left"/>
        <w:textAlignment w:val="center"/>
        <w:rPr>
          <w:color w:val="000000"/>
        </w:rPr>
      </w:pPr>
      <w:r>
        <w:rPr>
          <w:color w:val="000000"/>
        </w:rPr>
        <w:t xml:space="preserve">13. </w:t>
      </w:r>
      <w:r>
        <w:rPr>
          <w:rFonts w:ascii="宋体" w:hAnsi="宋体"/>
          <w:color w:val="000000"/>
        </w:rPr>
        <w:t>图中岩浆岩（   ）</w:t>
      </w:r>
    </w:p>
    <w:p w14:paraId="66EF19D9">
      <w:pPr>
        <w:spacing w:line="360" w:lineRule="auto"/>
        <w:jc w:val="left"/>
        <w:textAlignment w:val="center"/>
        <w:rPr>
          <w:color w:val="000000"/>
        </w:rPr>
      </w:pPr>
      <w:r>
        <w:rPr>
          <w:rFonts w:ascii="宋体" w:hAnsi="宋体"/>
          <w:color w:val="000000"/>
        </w:rPr>
        <w:t>①沿断层F侵入②切穿背斜轴部③切穿向斜轴部④早于寒武纪形成</w:t>
      </w:r>
    </w:p>
    <w:p w14:paraId="7DBF797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35A2B533">
      <w:pPr>
        <w:spacing w:line="360" w:lineRule="auto"/>
        <w:jc w:val="left"/>
        <w:textAlignment w:val="center"/>
        <w:rPr>
          <w:color w:val="000000"/>
        </w:rPr>
      </w:pPr>
      <w:r>
        <w:rPr>
          <w:color w:val="000000"/>
        </w:rPr>
        <w:t xml:space="preserve">14. </w:t>
      </w:r>
      <w:r>
        <w:rPr>
          <w:rFonts w:ascii="宋体" w:hAnsi="宋体"/>
          <w:color w:val="000000"/>
        </w:rPr>
        <w:t>该地区经历的地质过程是（   ）</w:t>
      </w:r>
    </w:p>
    <w:p w14:paraId="3E0E3494">
      <w:pPr>
        <w:tabs>
          <w:tab w:val="left" w:pos="4873"/>
        </w:tabs>
        <w:spacing w:line="360" w:lineRule="auto"/>
        <w:jc w:val="left"/>
        <w:textAlignment w:val="center"/>
        <w:rPr>
          <w:color w:val="000000"/>
        </w:rPr>
      </w:pPr>
      <w:r>
        <w:rPr>
          <w:color w:val="000000"/>
        </w:rPr>
        <w:t xml:space="preserve">A. </w:t>
      </w:r>
      <w:r>
        <w:rPr>
          <w:rFonts w:ascii="宋体" w:hAnsi="宋体"/>
          <w:color w:val="000000"/>
        </w:rPr>
        <w:t>褶皱隆升—固结成岩—断层错位</w:t>
      </w:r>
      <w:r>
        <w:rPr>
          <w:color w:val="000000"/>
        </w:rPr>
        <w:tab/>
      </w:r>
      <w:r>
        <w:rPr>
          <w:color w:val="000000"/>
        </w:rPr>
        <w:t xml:space="preserve">B. </w:t>
      </w:r>
      <w:r>
        <w:rPr>
          <w:rFonts w:ascii="宋体" w:hAnsi="宋体"/>
          <w:color w:val="000000"/>
        </w:rPr>
        <w:t>固结成岩—断层错位—褶皱隆升</w:t>
      </w:r>
    </w:p>
    <w:p w14:paraId="4203DD72">
      <w:pPr>
        <w:tabs>
          <w:tab w:val="left" w:pos="4873"/>
        </w:tabs>
        <w:spacing w:line="360" w:lineRule="auto"/>
        <w:jc w:val="left"/>
        <w:textAlignment w:val="center"/>
        <w:rPr>
          <w:color w:val="000000"/>
        </w:rPr>
      </w:pPr>
      <w:r>
        <w:rPr>
          <w:color w:val="000000"/>
        </w:rPr>
        <w:t xml:space="preserve">C. </w:t>
      </w:r>
      <w:r>
        <w:rPr>
          <w:rFonts w:ascii="宋体" w:hAnsi="宋体"/>
          <w:color w:val="000000"/>
        </w:rPr>
        <w:t>固结成岩—褶皱隆升—断层错位</w:t>
      </w:r>
      <w:r>
        <w:rPr>
          <w:color w:val="000000"/>
        </w:rPr>
        <w:tab/>
      </w:r>
      <w:r>
        <w:rPr>
          <w:color w:val="000000"/>
        </w:rPr>
        <w:t xml:space="preserve">D. </w:t>
      </w:r>
      <w:r>
        <w:rPr>
          <w:rFonts w:ascii="宋体" w:hAnsi="宋体"/>
          <w:color w:val="000000"/>
        </w:rPr>
        <w:t>褶皱隆升—断层错位—固结成岩</w:t>
      </w:r>
    </w:p>
    <w:p w14:paraId="2953236D">
      <w:pPr>
        <w:spacing w:line="360" w:lineRule="auto"/>
        <w:ind w:firstLine="420"/>
        <w:jc w:val="left"/>
        <w:textAlignment w:val="center"/>
        <w:rPr>
          <w:color w:val="000000"/>
        </w:rPr>
      </w:pPr>
      <w:r>
        <w:rPr>
          <w:rFonts w:ascii="楷体" w:hAnsi="楷体" w:eastAsia="楷体" w:cs="楷体"/>
          <w:color w:val="000000"/>
        </w:rPr>
        <w:t>盐土是排水不畅或蒸发强烈地区具有明显积盐过程的土壤。下图为我国某内陆盆地山前冲积平原断面图，沿坡分布多种盐土。完成下面小题。</w:t>
      </w:r>
    </w:p>
    <w:p w14:paraId="7582CB3C">
      <w:pPr>
        <w:spacing w:line="360" w:lineRule="auto"/>
        <w:jc w:val="left"/>
        <w:textAlignment w:val="center"/>
        <w:rPr>
          <w:color w:val="000000"/>
        </w:rPr>
      </w:pPr>
      <w:r>
        <w:rPr>
          <w:color w:val="000000"/>
        </w:rPr>
        <w:drawing>
          <wp:inline distT="0" distB="0" distL="0" distR="0">
            <wp:extent cx="4171950" cy="20478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171950" cy="2047875"/>
                    </a:xfrm>
                    <a:prstGeom prst="rect">
                      <a:avLst/>
                    </a:prstGeom>
                  </pic:spPr>
                </pic:pic>
              </a:graphicData>
            </a:graphic>
          </wp:inline>
        </w:drawing>
      </w:r>
    </w:p>
    <w:p w14:paraId="35BBB74E">
      <w:pPr>
        <w:spacing w:line="360" w:lineRule="auto"/>
        <w:jc w:val="left"/>
        <w:textAlignment w:val="center"/>
        <w:rPr>
          <w:color w:val="000000"/>
        </w:rPr>
      </w:pPr>
      <w:r>
        <w:rPr>
          <w:color w:val="000000"/>
        </w:rPr>
        <w:t xml:space="preserve">15. </w:t>
      </w:r>
      <w:r>
        <w:rPr>
          <w:rFonts w:ascii="宋体" w:hAnsi="宋体"/>
          <w:color w:val="000000"/>
        </w:rPr>
        <w:t>该区域盐土地域分布呈现（   ）</w:t>
      </w:r>
    </w:p>
    <w:p w14:paraId="7D7404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垂直分异规律</w:t>
      </w:r>
      <w:r>
        <w:rPr>
          <w:color w:val="000000"/>
        </w:rPr>
        <w:tab/>
      </w:r>
      <w:r>
        <w:rPr>
          <w:color w:val="000000"/>
        </w:rPr>
        <w:t xml:space="preserve">B. </w:t>
      </w:r>
      <w:r>
        <w:rPr>
          <w:rFonts w:ascii="宋体" w:hAnsi="宋体"/>
          <w:color w:val="000000"/>
        </w:rPr>
        <w:t>地方性分异规律</w:t>
      </w:r>
      <w:r>
        <w:rPr>
          <w:color w:val="000000"/>
        </w:rPr>
        <w:tab/>
      </w:r>
      <w:r>
        <w:rPr>
          <w:color w:val="000000"/>
        </w:rPr>
        <w:t xml:space="preserve">C. </w:t>
      </w:r>
      <w:r>
        <w:rPr>
          <w:rFonts w:ascii="宋体" w:hAnsi="宋体"/>
          <w:color w:val="000000"/>
        </w:rPr>
        <w:t>由低纬向高纬带状分异</w:t>
      </w:r>
      <w:r>
        <w:rPr>
          <w:color w:val="000000"/>
        </w:rPr>
        <w:tab/>
      </w:r>
      <w:r>
        <w:rPr>
          <w:color w:val="000000"/>
        </w:rPr>
        <w:t xml:space="preserve">D. </w:t>
      </w:r>
      <w:r>
        <w:rPr>
          <w:rFonts w:ascii="宋体" w:hAnsi="宋体"/>
          <w:color w:val="000000"/>
        </w:rPr>
        <w:t>由沿海向内陆带状分异</w:t>
      </w:r>
    </w:p>
    <w:p w14:paraId="66E0620D">
      <w:pPr>
        <w:spacing w:line="360" w:lineRule="auto"/>
        <w:jc w:val="left"/>
        <w:textAlignment w:val="center"/>
        <w:rPr>
          <w:color w:val="000000"/>
        </w:rPr>
      </w:pPr>
      <w:r>
        <w:rPr>
          <w:color w:val="000000"/>
        </w:rPr>
        <w:t xml:space="preserve">16. </w:t>
      </w:r>
      <w:r>
        <w:rPr>
          <w:rFonts w:ascii="宋体" w:hAnsi="宋体"/>
          <w:color w:val="000000"/>
        </w:rPr>
        <w:t>符合甲地盐土盐分垂直变化的是（   ）</w:t>
      </w:r>
    </w:p>
    <w:p w14:paraId="491E873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0" distR="0">
            <wp:extent cx="1295400" cy="1343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95400" cy="1343025"/>
                    </a:xfrm>
                    <a:prstGeom prst="rect">
                      <a:avLst/>
                    </a:prstGeom>
                  </pic:spPr>
                </pic:pic>
              </a:graphicData>
            </a:graphic>
          </wp:inline>
        </w:drawing>
      </w:r>
      <w:r>
        <w:rPr>
          <w:color w:val="000000"/>
        </w:rPr>
        <w:tab/>
      </w:r>
      <w:r>
        <w:rPr>
          <w:color w:val="000000"/>
        </w:rPr>
        <w:t xml:space="preserve">B. </w:t>
      </w:r>
      <w:r>
        <w:rPr>
          <w:color w:val="000000"/>
        </w:rPr>
        <w:drawing>
          <wp:inline distT="0" distB="0" distL="0" distR="0">
            <wp:extent cx="1295400" cy="1228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95400" cy="1228725"/>
                    </a:xfrm>
                    <a:prstGeom prst="rect">
                      <a:avLst/>
                    </a:prstGeom>
                  </pic:spPr>
                </pic:pic>
              </a:graphicData>
            </a:graphic>
          </wp:inline>
        </w:drawing>
      </w:r>
      <w:r>
        <w:rPr>
          <w:color w:val="000000"/>
        </w:rPr>
        <w:tab/>
      </w:r>
      <w:r>
        <w:rPr>
          <w:color w:val="000000"/>
        </w:rPr>
        <w:t xml:space="preserve">C. </w:t>
      </w:r>
      <w:r>
        <w:rPr>
          <w:color w:val="000000"/>
        </w:rPr>
        <w:drawing>
          <wp:inline distT="0" distB="0" distL="0" distR="0">
            <wp:extent cx="1295400" cy="1276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95400" cy="1276350"/>
                    </a:xfrm>
                    <a:prstGeom prst="rect">
                      <a:avLst/>
                    </a:prstGeom>
                  </pic:spPr>
                </pic:pic>
              </a:graphicData>
            </a:graphic>
          </wp:inline>
        </w:drawing>
      </w:r>
      <w:r>
        <w:rPr>
          <w:color w:val="000000"/>
        </w:rPr>
        <w:tab/>
      </w:r>
      <w:r>
        <w:rPr>
          <w:color w:val="000000"/>
        </w:rPr>
        <w:t xml:space="preserve">D. </w:t>
      </w:r>
      <w:r>
        <w:rPr>
          <w:color w:val="000000"/>
        </w:rPr>
        <w:drawing>
          <wp:inline distT="0" distB="0" distL="0" distR="0">
            <wp:extent cx="1295400" cy="12382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95400" cy="1238250"/>
                    </a:xfrm>
                    <a:prstGeom prst="rect">
                      <a:avLst/>
                    </a:prstGeom>
                  </pic:spPr>
                </pic:pic>
              </a:graphicData>
            </a:graphic>
          </wp:inline>
        </w:drawing>
      </w:r>
    </w:p>
    <w:p w14:paraId="3336BB99">
      <w:pPr>
        <w:spacing w:line="360" w:lineRule="auto"/>
        <w:ind w:firstLine="420"/>
        <w:jc w:val="left"/>
        <w:textAlignment w:val="center"/>
        <w:rPr>
          <w:color w:val="000000"/>
        </w:rPr>
      </w:pPr>
      <w:r>
        <w:rPr>
          <w:rFonts w:ascii="楷体" w:hAnsi="楷体" w:eastAsia="楷体" w:cs="楷体"/>
          <w:color w:val="000000"/>
        </w:rPr>
        <w:t>辽河口湿地生长着一种耐盐碱的一年生草本植物——翅碱蓬。翅碱蓬在维护湿地生态系统方面具有重要作用，其生长与潮滩湿地水体盐度显著相关。下图为辽河口潮滩植被分布示意图。完成下面小题。</w:t>
      </w:r>
    </w:p>
    <w:p w14:paraId="55C7BC44">
      <w:pPr>
        <w:spacing w:line="360" w:lineRule="auto"/>
        <w:jc w:val="left"/>
        <w:textAlignment w:val="center"/>
        <w:rPr>
          <w:color w:val="000000"/>
        </w:rPr>
      </w:pPr>
      <w:r>
        <w:rPr>
          <w:color w:val="000000"/>
        </w:rPr>
        <w:drawing>
          <wp:inline distT="0" distB="0" distL="0" distR="0">
            <wp:extent cx="2686050" cy="2038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686050" cy="2038350"/>
                    </a:xfrm>
                    <a:prstGeom prst="rect">
                      <a:avLst/>
                    </a:prstGeom>
                  </pic:spPr>
                </pic:pic>
              </a:graphicData>
            </a:graphic>
          </wp:inline>
        </w:drawing>
      </w:r>
    </w:p>
    <w:p w14:paraId="6A8E54D1">
      <w:pPr>
        <w:spacing w:line="360" w:lineRule="auto"/>
        <w:jc w:val="left"/>
        <w:textAlignment w:val="center"/>
        <w:rPr>
          <w:color w:val="000000"/>
        </w:rPr>
      </w:pPr>
      <w:r>
        <w:rPr>
          <w:color w:val="000000"/>
        </w:rPr>
        <w:t xml:space="preserve">17. </w:t>
      </w:r>
      <w:r>
        <w:rPr>
          <w:rFonts w:ascii="宋体" w:hAnsi="宋体"/>
          <w:color w:val="000000"/>
        </w:rPr>
        <w:t>辽河口潮难植被演替的总体趋势是（   ）</w:t>
      </w:r>
    </w:p>
    <w:p w14:paraId="7158C724">
      <w:pPr>
        <w:tabs>
          <w:tab w:val="left" w:pos="4873"/>
        </w:tabs>
        <w:spacing w:line="360" w:lineRule="auto"/>
        <w:jc w:val="left"/>
        <w:textAlignment w:val="center"/>
        <w:rPr>
          <w:color w:val="000000"/>
        </w:rPr>
      </w:pPr>
      <w:r>
        <w:rPr>
          <w:color w:val="000000"/>
        </w:rPr>
        <w:t xml:space="preserve">A. </w:t>
      </w:r>
      <w:r>
        <w:rPr>
          <w:rFonts w:ascii="宋体" w:hAnsi="宋体"/>
          <w:color w:val="000000"/>
        </w:rPr>
        <w:t>翅碱蓬—芦苇—光滩</w:t>
      </w:r>
      <w:r>
        <w:rPr>
          <w:color w:val="000000"/>
        </w:rPr>
        <w:tab/>
      </w:r>
      <w:r>
        <w:rPr>
          <w:color w:val="000000"/>
        </w:rPr>
        <w:t xml:space="preserve">B. </w:t>
      </w:r>
      <w:r>
        <w:rPr>
          <w:rFonts w:ascii="宋体" w:hAnsi="宋体"/>
          <w:color w:val="000000"/>
        </w:rPr>
        <w:t>翅碱蓬—光滩—芦苇</w:t>
      </w:r>
    </w:p>
    <w:p w14:paraId="75DC9B86">
      <w:pPr>
        <w:tabs>
          <w:tab w:val="left" w:pos="4873"/>
        </w:tabs>
        <w:spacing w:line="360" w:lineRule="auto"/>
        <w:jc w:val="left"/>
        <w:textAlignment w:val="center"/>
        <w:rPr>
          <w:color w:val="000000"/>
        </w:rPr>
      </w:pPr>
      <w:r>
        <w:rPr>
          <w:color w:val="000000"/>
        </w:rPr>
        <w:t xml:space="preserve">C. </w:t>
      </w:r>
      <w:r>
        <w:rPr>
          <w:rFonts w:ascii="宋体" w:hAnsi="宋体"/>
          <w:color w:val="000000"/>
        </w:rPr>
        <w:t>光滩—芦苇—翅碱蓬</w:t>
      </w:r>
      <w:r>
        <w:rPr>
          <w:color w:val="000000"/>
        </w:rPr>
        <w:tab/>
      </w:r>
      <w:r>
        <w:rPr>
          <w:color w:val="000000"/>
        </w:rPr>
        <w:t xml:space="preserve">D. </w:t>
      </w:r>
      <w:r>
        <w:rPr>
          <w:rFonts w:ascii="宋体" w:hAnsi="宋体"/>
          <w:color w:val="000000"/>
        </w:rPr>
        <w:t>光滩—翅碱蓬—芦苇</w:t>
      </w:r>
    </w:p>
    <w:p w14:paraId="2B474FCE">
      <w:pPr>
        <w:spacing w:line="360" w:lineRule="auto"/>
        <w:jc w:val="left"/>
        <w:textAlignment w:val="center"/>
        <w:rPr>
          <w:color w:val="000000"/>
        </w:rPr>
      </w:pPr>
      <w:r>
        <w:rPr>
          <w:color w:val="000000"/>
        </w:rPr>
        <w:t xml:space="preserve">18. </w:t>
      </w:r>
      <w:r>
        <w:rPr>
          <w:rFonts w:ascii="宋体" w:hAnsi="宋体"/>
          <w:color w:val="000000"/>
        </w:rPr>
        <w:t>针对辽河口翅碱蓬退化，较可行的生态修复措施是（   ）</w:t>
      </w:r>
    </w:p>
    <w:p w14:paraId="69CD4981">
      <w:pPr>
        <w:tabs>
          <w:tab w:val="left" w:pos="4873"/>
        </w:tabs>
        <w:spacing w:line="360" w:lineRule="auto"/>
        <w:jc w:val="left"/>
        <w:textAlignment w:val="center"/>
        <w:rPr>
          <w:color w:val="000000"/>
        </w:rPr>
      </w:pPr>
      <w:r>
        <w:rPr>
          <w:color w:val="000000"/>
        </w:rPr>
        <w:t xml:space="preserve">A. </w:t>
      </w:r>
      <w:r>
        <w:rPr>
          <w:rFonts w:ascii="宋体" w:hAnsi="宋体"/>
          <w:color w:val="000000"/>
        </w:rPr>
        <w:t>潮滩上建水库蓄淡水</w:t>
      </w:r>
      <w:r>
        <w:rPr>
          <w:color w:val="000000"/>
        </w:rPr>
        <w:tab/>
      </w:r>
      <w:r>
        <w:rPr>
          <w:color w:val="000000"/>
        </w:rPr>
        <w:t xml:space="preserve">B. </w:t>
      </w:r>
      <w:r>
        <w:rPr>
          <w:rFonts w:ascii="宋体" w:hAnsi="宋体"/>
          <w:color w:val="000000"/>
        </w:rPr>
        <w:t>修建防潮大坝围垦潮滩</w:t>
      </w:r>
    </w:p>
    <w:p w14:paraId="0389D87F">
      <w:pPr>
        <w:tabs>
          <w:tab w:val="left" w:pos="4873"/>
        </w:tabs>
        <w:spacing w:line="360" w:lineRule="auto"/>
        <w:jc w:val="left"/>
        <w:textAlignment w:val="center"/>
        <w:rPr>
          <w:color w:val="000000"/>
        </w:rPr>
      </w:pPr>
      <w:r>
        <w:rPr>
          <w:color w:val="000000"/>
        </w:rPr>
        <w:t xml:space="preserve">C. </w:t>
      </w:r>
      <w:r>
        <w:rPr>
          <w:rFonts w:ascii="宋体" w:hAnsi="宋体"/>
          <w:color w:val="000000"/>
        </w:rPr>
        <w:t>调控辽河入海径流量</w:t>
      </w:r>
      <w:r>
        <w:rPr>
          <w:color w:val="000000"/>
        </w:rPr>
        <w:tab/>
      </w:r>
      <w:r>
        <w:rPr>
          <w:color w:val="000000"/>
        </w:rPr>
        <w:t xml:space="preserve">D. </w:t>
      </w:r>
      <w:r>
        <w:rPr>
          <w:rFonts w:ascii="宋体" w:hAnsi="宋体"/>
          <w:color w:val="000000"/>
        </w:rPr>
        <w:t>人工大面积种植翅碱蓬</w:t>
      </w:r>
    </w:p>
    <w:p w14:paraId="5A433290">
      <w:pPr>
        <w:spacing w:line="360" w:lineRule="auto"/>
        <w:ind w:firstLine="420"/>
        <w:jc w:val="left"/>
        <w:textAlignment w:val="center"/>
        <w:rPr>
          <w:color w:val="000000"/>
        </w:rPr>
      </w:pPr>
      <w:r>
        <w:rPr>
          <w:rFonts w:ascii="楷体" w:hAnsi="楷体" w:eastAsia="楷体" w:cs="楷体"/>
          <w:color w:val="000000"/>
        </w:rPr>
        <w:t>某中学地理社团组织成员开展月相观测。2021年2月19日农历正月初八，有同学用肉眼在湛蓝的天空中观测到了日、月同天景象，并作记录。同时，部分同学还从网上查到，位于（0°，105°W）的地点可观测到月球正在地平线落下。完成下面小题。</w:t>
      </w:r>
    </w:p>
    <w:p w14:paraId="5EF7A184">
      <w:pPr>
        <w:spacing w:line="360" w:lineRule="auto"/>
        <w:jc w:val="left"/>
        <w:textAlignment w:val="center"/>
        <w:rPr>
          <w:color w:val="000000"/>
        </w:rPr>
      </w:pPr>
      <w:r>
        <w:rPr>
          <w:color w:val="000000"/>
        </w:rPr>
        <w:t xml:space="preserve">19. </w:t>
      </w:r>
      <w:r>
        <w:rPr>
          <w:rFonts w:ascii="宋体" w:hAnsi="宋体"/>
          <w:color w:val="000000"/>
        </w:rPr>
        <w:t>同学记录的日、月位置和月相正确的是（   ）</w:t>
      </w:r>
    </w:p>
    <w:p w14:paraId="5CFC31A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0" distR="0">
            <wp:extent cx="1352550" cy="1352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52550" cy="1352550"/>
                    </a:xfrm>
                    <a:prstGeom prst="rect">
                      <a:avLst/>
                    </a:prstGeom>
                  </pic:spPr>
                </pic:pic>
              </a:graphicData>
            </a:graphic>
          </wp:inline>
        </w:drawing>
      </w:r>
      <w:r>
        <w:rPr>
          <w:color w:val="000000"/>
        </w:rPr>
        <w:tab/>
      </w:r>
      <w:r>
        <w:rPr>
          <w:color w:val="000000"/>
        </w:rPr>
        <w:t xml:space="preserve">B. </w:t>
      </w:r>
      <w:r>
        <w:rPr>
          <w:color w:val="000000"/>
        </w:rPr>
        <w:drawing>
          <wp:inline distT="0" distB="0" distL="0" distR="0">
            <wp:extent cx="1314450" cy="1285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14450" cy="1285875"/>
                    </a:xfrm>
                    <a:prstGeom prst="rect">
                      <a:avLst/>
                    </a:prstGeom>
                  </pic:spPr>
                </pic:pic>
              </a:graphicData>
            </a:graphic>
          </wp:inline>
        </w:drawing>
      </w:r>
      <w:r>
        <w:rPr>
          <w:color w:val="000000"/>
        </w:rPr>
        <w:tab/>
      </w:r>
      <w:r>
        <w:rPr>
          <w:color w:val="000000"/>
        </w:rPr>
        <w:t xml:space="preserve">C. </w:t>
      </w:r>
      <w:r>
        <w:rPr>
          <w:color w:val="000000"/>
        </w:rPr>
        <w:drawing>
          <wp:inline distT="0" distB="0" distL="0" distR="0">
            <wp:extent cx="1238250" cy="13430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38250" cy="1343025"/>
                    </a:xfrm>
                    <a:prstGeom prst="rect">
                      <a:avLst/>
                    </a:prstGeom>
                  </pic:spPr>
                </pic:pic>
              </a:graphicData>
            </a:graphic>
          </wp:inline>
        </w:drawing>
      </w:r>
      <w:r>
        <w:rPr>
          <w:color w:val="000000"/>
        </w:rPr>
        <w:tab/>
      </w:r>
      <w:r>
        <w:rPr>
          <w:color w:val="000000"/>
        </w:rPr>
        <w:t xml:space="preserve">D. </w:t>
      </w:r>
      <w:r>
        <w:rPr>
          <w:color w:val="000000"/>
        </w:rPr>
        <w:drawing>
          <wp:inline distT="0" distB="0" distL="0" distR="0">
            <wp:extent cx="1314450"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14450" cy="1333500"/>
                    </a:xfrm>
                    <a:prstGeom prst="rect">
                      <a:avLst/>
                    </a:prstGeom>
                  </pic:spPr>
                </pic:pic>
              </a:graphicData>
            </a:graphic>
          </wp:inline>
        </w:drawing>
      </w:r>
    </w:p>
    <w:p w14:paraId="520A82D4">
      <w:pPr>
        <w:spacing w:line="360" w:lineRule="auto"/>
        <w:jc w:val="left"/>
        <w:textAlignment w:val="center"/>
        <w:rPr>
          <w:color w:val="000000"/>
        </w:rPr>
      </w:pPr>
      <w:r>
        <w:rPr>
          <w:color w:val="000000"/>
        </w:rPr>
        <w:t xml:space="preserve">20. </w:t>
      </w:r>
      <w:r>
        <w:rPr>
          <w:rFonts w:ascii="宋体" w:hAnsi="宋体"/>
          <w:color w:val="000000"/>
        </w:rPr>
        <w:t>此时，赤道与晨、昏线交点的经度最接近的分别是（   ）</w:t>
      </w:r>
    </w:p>
    <w:p w14:paraId="7849D5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15°W、165°E</w:t>
      </w:r>
      <w:r>
        <w:rPr>
          <w:color w:val="000000"/>
        </w:rPr>
        <w:tab/>
      </w:r>
      <w:r>
        <w:rPr>
          <w:color w:val="000000"/>
        </w:rPr>
        <w:t xml:space="preserve">B. </w:t>
      </w:r>
      <w:r>
        <w:rPr>
          <w:rFonts w:ascii="宋体" w:hAnsi="宋体"/>
          <w:color w:val="000000"/>
        </w:rPr>
        <w:t>105°W、75°E</w:t>
      </w:r>
      <w:r>
        <w:rPr>
          <w:color w:val="000000"/>
        </w:rPr>
        <w:tab/>
      </w:r>
      <w:r>
        <w:rPr>
          <w:color w:val="000000"/>
        </w:rPr>
        <w:t xml:space="preserve">C. </w:t>
      </w:r>
      <w:r>
        <w:rPr>
          <w:rFonts w:ascii="宋体" w:hAnsi="宋体"/>
          <w:color w:val="000000"/>
        </w:rPr>
        <w:t>165°E、15°W</w:t>
      </w:r>
      <w:r>
        <w:rPr>
          <w:color w:val="000000"/>
        </w:rPr>
        <w:tab/>
      </w:r>
      <w:r>
        <w:rPr>
          <w:color w:val="000000"/>
        </w:rPr>
        <w:t xml:space="preserve">D. </w:t>
      </w:r>
      <w:r>
        <w:rPr>
          <w:rFonts w:ascii="宋体" w:hAnsi="宋体"/>
          <w:color w:val="000000"/>
        </w:rPr>
        <w:t>75°E、105°W</w:t>
      </w:r>
    </w:p>
    <w:p w14:paraId="439860AA">
      <w:pPr>
        <w:spacing w:line="360" w:lineRule="auto"/>
        <w:jc w:val="left"/>
        <w:textAlignment w:val="center"/>
        <w:rPr>
          <w:color w:val="000000"/>
        </w:rPr>
      </w:pPr>
      <w:r>
        <w:rPr>
          <w:rFonts w:ascii="宋体" w:hAnsi="宋体"/>
          <w:b/>
          <w:color w:val="000000"/>
          <w:sz w:val="24"/>
        </w:rPr>
        <w:t>二、选择题II（本大题共5小题，每小题3分，共15分。每小题列出的四个备选项中只有一个是符合题目要求的，不选、多选、错选均不得分）</w:t>
      </w:r>
    </w:p>
    <w:p w14:paraId="47C1206A">
      <w:pPr>
        <w:spacing w:line="360" w:lineRule="auto"/>
        <w:jc w:val="left"/>
        <w:textAlignment w:val="center"/>
        <w:rPr>
          <w:color w:val="000000"/>
        </w:rPr>
      </w:pPr>
      <w:r>
        <w:rPr>
          <w:color w:val="000000"/>
        </w:rPr>
        <w:t xml:space="preserve">21. </w:t>
      </w:r>
      <w:r>
        <w:rPr>
          <w:rFonts w:ascii="宋体" w:hAnsi="宋体"/>
          <w:color w:val="000000"/>
        </w:rPr>
        <w:t>距陆地5千米以外、水深200米以下的深层海水，因其独特性质而备受关注，已被广泛开发利用。下图为深层海水部分应用领域示意图。深层海水深受水产、食品等产业青睐是因其（   ）</w:t>
      </w:r>
    </w:p>
    <w:p w14:paraId="5705675C">
      <w:pPr>
        <w:spacing w:line="360" w:lineRule="auto"/>
        <w:jc w:val="left"/>
        <w:textAlignment w:val="center"/>
        <w:rPr>
          <w:color w:val="000000"/>
        </w:rPr>
      </w:pPr>
      <w:r>
        <w:rPr>
          <w:color w:val="000000"/>
        </w:rPr>
        <w:drawing>
          <wp:inline distT="0" distB="0" distL="0" distR="0">
            <wp:extent cx="2105025" cy="22002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105025" cy="2200275"/>
                    </a:xfrm>
                    <a:prstGeom prst="rect">
                      <a:avLst/>
                    </a:prstGeom>
                  </pic:spPr>
                </pic:pic>
              </a:graphicData>
            </a:graphic>
          </wp:inline>
        </w:drawing>
      </w:r>
    </w:p>
    <w:p w14:paraId="055B20FF">
      <w:pPr>
        <w:spacing w:line="360" w:lineRule="auto"/>
        <w:jc w:val="left"/>
        <w:textAlignment w:val="center"/>
        <w:rPr>
          <w:color w:val="000000"/>
        </w:rPr>
      </w:pPr>
      <w:r>
        <w:rPr>
          <w:rFonts w:ascii="宋体" w:hAnsi="宋体"/>
          <w:color w:val="000000"/>
        </w:rPr>
        <w:t>①氧气充足②清洁少菌③矿物营养多④光合作用强</w:t>
      </w:r>
    </w:p>
    <w:p w14:paraId="140D91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679A9F25">
      <w:pPr>
        <w:spacing w:line="360" w:lineRule="auto"/>
        <w:ind w:firstLine="420"/>
        <w:jc w:val="left"/>
        <w:textAlignment w:val="center"/>
        <w:rPr>
          <w:color w:val="000000"/>
        </w:rPr>
      </w:pPr>
      <w:r>
        <w:rPr>
          <w:rFonts w:ascii="楷体" w:hAnsi="楷体" w:eastAsia="楷体" w:cs="楷体"/>
          <w:color w:val="000000"/>
        </w:rPr>
        <w:t>近年来，我国多地积极实施“小田变大田”土地综合整治工作，将“一户多块地”改造为“一户一块地”，并通过土地流转，促进土地向种粮大户集中。完成下面小题。</w:t>
      </w:r>
    </w:p>
    <w:p w14:paraId="31D82D9A">
      <w:pPr>
        <w:spacing w:line="360" w:lineRule="auto"/>
        <w:jc w:val="left"/>
        <w:textAlignment w:val="center"/>
        <w:rPr>
          <w:color w:val="000000"/>
        </w:rPr>
      </w:pPr>
      <w:r>
        <w:rPr>
          <w:color w:val="000000"/>
        </w:rPr>
        <w:t xml:space="preserve">22. </w:t>
      </w:r>
      <w:r>
        <w:rPr>
          <w:rFonts w:ascii="宋体" w:hAnsi="宋体"/>
          <w:color w:val="000000"/>
        </w:rPr>
        <w:t>“小田变大田”土地整治的主要原因是（   ）</w:t>
      </w:r>
    </w:p>
    <w:p w14:paraId="4D5A3A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耕地流转费用上涨</w:t>
      </w:r>
      <w:r>
        <w:rPr>
          <w:color w:val="000000"/>
        </w:rPr>
        <w:tab/>
      </w:r>
      <w:r>
        <w:rPr>
          <w:color w:val="000000"/>
        </w:rPr>
        <w:t xml:space="preserve">B. </w:t>
      </w:r>
      <w:r>
        <w:rPr>
          <w:rFonts w:ascii="宋体" w:hAnsi="宋体"/>
          <w:color w:val="000000"/>
        </w:rPr>
        <w:t>劳动力成本上升</w:t>
      </w:r>
      <w:r>
        <w:rPr>
          <w:color w:val="000000"/>
        </w:rPr>
        <w:tab/>
      </w:r>
      <w:r>
        <w:rPr>
          <w:color w:val="000000"/>
        </w:rPr>
        <w:t xml:space="preserve">C. </w:t>
      </w:r>
      <w:r>
        <w:rPr>
          <w:rFonts w:ascii="宋体" w:hAnsi="宋体"/>
          <w:color w:val="000000"/>
        </w:rPr>
        <w:t>饮食消费结构升级</w:t>
      </w:r>
      <w:r>
        <w:rPr>
          <w:color w:val="000000"/>
        </w:rPr>
        <w:tab/>
      </w:r>
      <w:r>
        <w:rPr>
          <w:color w:val="000000"/>
        </w:rPr>
        <w:t xml:space="preserve">D. </w:t>
      </w:r>
      <w:r>
        <w:rPr>
          <w:rFonts w:ascii="宋体" w:hAnsi="宋体"/>
          <w:color w:val="000000"/>
        </w:rPr>
        <w:t>耕地分布不平衡</w:t>
      </w:r>
    </w:p>
    <w:p w14:paraId="1988B3A5">
      <w:pPr>
        <w:spacing w:line="360" w:lineRule="auto"/>
        <w:jc w:val="left"/>
        <w:textAlignment w:val="center"/>
        <w:rPr>
          <w:color w:val="000000"/>
        </w:rPr>
      </w:pPr>
      <w:r>
        <w:rPr>
          <w:color w:val="000000"/>
        </w:rPr>
        <w:t>23</w:t>
      </w:r>
      <w:r>
        <w:rPr>
          <w:color w:val="000000"/>
          <w:position w:val="-22"/>
        </w:rPr>
        <w:drawing>
          <wp:inline distT="0" distB="0" distL="0" distR="0">
            <wp:extent cx="31750" cy="889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该项土地整治可以（   ）</w:t>
      </w:r>
    </w:p>
    <w:p w14:paraId="2C608368">
      <w:pPr>
        <w:tabs>
          <w:tab w:val="left" w:pos="4873"/>
        </w:tabs>
        <w:spacing w:line="360" w:lineRule="auto"/>
        <w:jc w:val="left"/>
        <w:textAlignment w:val="center"/>
        <w:rPr>
          <w:color w:val="000000"/>
        </w:rPr>
      </w:pPr>
      <w:r>
        <w:rPr>
          <w:color w:val="000000"/>
        </w:rPr>
        <w:t xml:space="preserve">A. </w:t>
      </w:r>
      <w:r>
        <w:rPr>
          <w:rFonts w:ascii="宋体" w:hAnsi="宋体"/>
          <w:color w:val="000000"/>
        </w:rPr>
        <w:t>增加农业经营主体数量</w:t>
      </w:r>
      <w:r>
        <w:rPr>
          <w:color w:val="000000"/>
        </w:rPr>
        <w:tab/>
      </w:r>
      <w:r>
        <w:rPr>
          <w:color w:val="000000"/>
        </w:rPr>
        <w:t xml:space="preserve">B. </w:t>
      </w:r>
      <w:r>
        <w:rPr>
          <w:rFonts w:ascii="宋体" w:hAnsi="宋体"/>
          <w:color w:val="000000"/>
        </w:rPr>
        <w:t>提高农业生产多样化水平</w:t>
      </w:r>
    </w:p>
    <w:p w14:paraId="0D9DE4AE">
      <w:pPr>
        <w:tabs>
          <w:tab w:val="left" w:pos="4873"/>
        </w:tabs>
        <w:spacing w:line="360" w:lineRule="auto"/>
        <w:jc w:val="left"/>
        <w:textAlignment w:val="center"/>
        <w:rPr>
          <w:color w:val="000000"/>
        </w:rPr>
      </w:pPr>
      <w:r>
        <w:rPr>
          <w:color w:val="000000"/>
        </w:rPr>
        <w:t xml:space="preserve">C. </w:t>
      </w:r>
      <w:r>
        <w:rPr>
          <w:rFonts w:ascii="宋体" w:hAnsi="宋体"/>
          <w:color w:val="000000"/>
        </w:rPr>
        <w:t>缓解耕地非粮化的倾向</w:t>
      </w:r>
      <w:r>
        <w:rPr>
          <w:color w:val="000000"/>
        </w:rPr>
        <w:tab/>
      </w:r>
      <w:r>
        <w:rPr>
          <w:color w:val="000000"/>
        </w:rPr>
        <w:t xml:space="preserve">D. </w:t>
      </w:r>
      <w:r>
        <w:rPr>
          <w:rFonts w:ascii="宋体" w:hAnsi="宋体"/>
          <w:color w:val="000000"/>
        </w:rPr>
        <w:t>减少农村劳动力流出数量</w:t>
      </w:r>
    </w:p>
    <w:p w14:paraId="7D5AAE04">
      <w:pPr>
        <w:spacing w:line="360" w:lineRule="auto"/>
        <w:ind w:firstLine="420"/>
        <w:jc w:val="left"/>
        <w:textAlignment w:val="center"/>
        <w:rPr>
          <w:color w:val="000000"/>
        </w:rPr>
      </w:pPr>
      <w:r>
        <w:rPr>
          <w:rFonts w:ascii="楷体" w:hAnsi="楷体" w:eastAsia="楷体" w:cs="楷体"/>
          <w:color w:val="000000"/>
        </w:rPr>
        <w:t>当空气经过较暖的下垫面时，底部的大气增温形成比周边温度高的“热泡”，并不断向上运动，这是一切对流现象的基础。“热泡”超过凝结高度就会形成云层，海面上的云层在夜间常常会发生强烈对流，形成雷雨天气。下图为甲地下垫面附近“热泡”上升运动示意图。完成下面小题。</w:t>
      </w:r>
    </w:p>
    <w:p w14:paraId="1AD2C23F">
      <w:pPr>
        <w:spacing w:line="360" w:lineRule="auto"/>
        <w:jc w:val="left"/>
        <w:textAlignment w:val="center"/>
        <w:rPr>
          <w:color w:val="000000"/>
        </w:rPr>
      </w:pPr>
      <w:r>
        <w:rPr>
          <w:color w:val="000000"/>
        </w:rPr>
        <w:drawing>
          <wp:inline distT="0" distB="0" distL="0" distR="0">
            <wp:extent cx="2990850" cy="33528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990850" cy="3352800"/>
                    </a:xfrm>
                    <a:prstGeom prst="rect">
                      <a:avLst/>
                    </a:prstGeom>
                  </pic:spPr>
                </pic:pic>
              </a:graphicData>
            </a:graphic>
          </wp:inline>
        </w:drawing>
      </w:r>
    </w:p>
    <w:p w14:paraId="2272A8DB">
      <w:pPr>
        <w:spacing w:line="360" w:lineRule="auto"/>
        <w:jc w:val="left"/>
        <w:textAlignment w:val="center"/>
        <w:rPr>
          <w:color w:val="000000"/>
        </w:rPr>
      </w:pPr>
      <w:r>
        <w:rPr>
          <w:color w:val="000000"/>
        </w:rPr>
        <w:t xml:space="preserve">24. </w:t>
      </w:r>
      <w:r>
        <w:rPr>
          <w:rFonts w:ascii="宋体" w:hAnsi="宋体"/>
          <w:color w:val="000000"/>
        </w:rPr>
        <w:t>若甲地上空1000米以下受到相同气压系统控制，则符合图示“热泡”运动的等压线分布是（   ）</w:t>
      </w:r>
    </w:p>
    <w:p w14:paraId="23C4955A">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0" distR="0">
            <wp:extent cx="1047750" cy="12763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47750" cy="1276350"/>
                    </a:xfrm>
                    <a:prstGeom prst="rect">
                      <a:avLst/>
                    </a:prstGeom>
                  </pic:spPr>
                </pic:pic>
              </a:graphicData>
            </a:graphic>
          </wp:inline>
        </w:drawing>
      </w:r>
      <w:r>
        <w:rPr>
          <w:color w:val="000000"/>
        </w:rPr>
        <w:tab/>
      </w:r>
      <w:r>
        <w:rPr>
          <w:color w:val="000000"/>
        </w:rPr>
        <w:t xml:space="preserve">B. </w:t>
      </w:r>
      <w:r>
        <w:rPr>
          <w:color w:val="000000"/>
        </w:rPr>
        <w:drawing>
          <wp:inline distT="0" distB="0" distL="0" distR="0">
            <wp:extent cx="1047750" cy="12573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047750" cy="1257300"/>
                    </a:xfrm>
                    <a:prstGeom prst="rect">
                      <a:avLst/>
                    </a:prstGeom>
                  </pic:spPr>
                </pic:pic>
              </a:graphicData>
            </a:graphic>
          </wp:inline>
        </w:drawing>
      </w:r>
      <w:r>
        <w:rPr>
          <w:color w:val="000000"/>
        </w:rPr>
        <w:tab/>
      </w:r>
      <w:r>
        <w:rPr>
          <w:color w:val="000000"/>
        </w:rPr>
        <w:t xml:space="preserve">C. </w:t>
      </w:r>
      <w:r>
        <w:rPr>
          <w:color w:val="000000"/>
        </w:rPr>
        <w:drawing>
          <wp:inline distT="0" distB="0" distL="0" distR="0">
            <wp:extent cx="1047750" cy="14382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047750" cy="1438275"/>
                    </a:xfrm>
                    <a:prstGeom prst="rect">
                      <a:avLst/>
                    </a:prstGeom>
                  </pic:spPr>
                </pic:pic>
              </a:graphicData>
            </a:graphic>
          </wp:inline>
        </w:drawing>
      </w:r>
      <w:r>
        <w:rPr>
          <w:color w:val="000000"/>
        </w:rPr>
        <w:tab/>
      </w:r>
      <w:r>
        <w:rPr>
          <w:color w:val="000000"/>
        </w:rPr>
        <w:t xml:space="preserve">D. </w:t>
      </w:r>
      <w:r>
        <w:rPr>
          <w:color w:val="000000"/>
        </w:rPr>
        <w:drawing>
          <wp:inline distT="0" distB="0" distL="0" distR="0">
            <wp:extent cx="1047750" cy="12763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047750" cy="1276350"/>
                    </a:xfrm>
                    <a:prstGeom prst="rect">
                      <a:avLst/>
                    </a:prstGeom>
                  </pic:spPr>
                </pic:pic>
              </a:graphicData>
            </a:graphic>
          </wp:inline>
        </w:drawing>
      </w:r>
    </w:p>
    <w:p w14:paraId="47A27596">
      <w:pPr>
        <w:spacing w:line="360" w:lineRule="auto"/>
        <w:jc w:val="left"/>
        <w:textAlignment w:val="center"/>
        <w:rPr>
          <w:color w:val="000000"/>
        </w:rPr>
      </w:pPr>
      <w:r>
        <w:rPr>
          <w:color w:val="000000"/>
        </w:rPr>
        <w:t xml:space="preserve">25. </w:t>
      </w:r>
      <w:r>
        <w:rPr>
          <w:rFonts w:ascii="宋体" w:hAnsi="宋体"/>
          <w:color w:val="000000"/>
        </w:rPr>
        <w:t>造成夜间海面上云强烈对流的原因有（   ）</w:t>
      </w:r>
    </w:p>
    <w:p w14:paraId="3E85D7CE">
      <w:pPr>
        <w:spacing w:line="360" w:lineRule="auto"/>
        <w:jc w:val="left"/>
        <w:textAlignment w:val="center"/>
        <w:rPr>
          <w:color w:val="000000"/>
        </w:rPr>
      </w:pPr>
      <w:r>
        <w:rPr>
          <w:rFonts w:ascii="宋体" w:hAnsi="宋体"/>
          <w:color w:val="000000"/>
        </w:rPr>
        <w:t>①云底接受海面辐射，降温慢②云顶长波辐射，冷却剧烈③云底向下垫面辐射，降温慢④云顶水汽蒸发，冷却剧烈</w:t>
      </w:r>
    </w:p>
    <w:p w14:paraId="2FB4CB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45E77401">
      <w:pPr>
        <w:spacing w:line="360" w:lineRule="auto"/>
        <w:jc w:val="left"/>
        <w:textAlignment w:val="center"/>
        <w:rPr>
          <w:color w:val="000000"/>
        </w:rPr>
      </w:pPr>
      <w:r>
        <w:rPr>
          <w:rFonts w:ascii="宋体" w:hAnsi="宋体"/>
          <w:b/>
          <w:color w:val="000000"/>
          <w:sz w:val="24"/>
        </w:rPr>
        <w:t>三、非选择题（本大题共3小题，共45分）</w:t>
      </w:r>
    </w:p>
    <w:p w14:paraId="5B5A24F3">
      <w:pPr>
        <w:spacing w:line="360" w:lineRule="auto"/>
        <w:jc w:val="left"/>
        <w:textAlignment w:val="center"/>
        <w:rPr>
          <w:color w:val="000000"/>
        </w:rPr>
      </w:pPr>
      <w:r>
        <w:rPr>
          <w:color w:val="000000"/>
        </w:rPr>
        <w:t xml:space="preserve">26. </w:t>
      </w:r>
      <w:r>
        <w:rPr>
          <w:rFonts w:ascii="宋体" w:hAnsi="宋体"/>
          <w:color w:val="000000"/>
        </w:rPr>
        <w:t>阅读材料，完成下列问题。</w:t>
      </w:r>
    </w:p>
    <w:p w14:paraId="2C486F45">
      <w:pPr>
        <w:spacing w:line="360" w:lineRule="auto"/>
        <w:ind w:firstLine="420"/>
        <w:jc w:val="left"/>
        <w:textAlignment w:val="center"/>
        <w:rPr>
          <w:color w:val="000000"/>
        </w:rPr>
      </w:pPr>
      <w:r>
        <w:rPr>
          <w:rFonts w:ascii="楷体" w:hAnsi="楷体" w:eastAsia="楷体" w:cs="楷体"/>
          <w:color w:val="000000"/>
        </w:rPr>
        <w:t>材料一墨西哥是拉美地区重要的发展中国家，国内资金缺乏，高速公路等基础设施建设滞后。20世纪90年代以来，墨西哥大量吸引外资，现已发展成为拉美地区重要的外国投资目的地和贸易大国。汽车产业是墨西哥国民经济的支柱产业，通过进口零部件，在国内装配后出口，其中80%的汽车出口到美国，形成特色显著的汽车产业发展模式。目前，墨西哥拟利用本国丰富的锂矿资源发展电动汽车产业，推动汽车产业转型升级。</w:t>
      </w:r>
    </w:p>
    <w:p w14:paraId="71E1809B">
      <w:pPr>
        <w:spacing w:line="360" w:lineRule="auto"/>
        <w:ind w:firstLine="420"/>
        <w:jc w:val="left"/>
        <w:textAlignment w:val="center"/>
        <w:rPr>
          <w:color w:val="000000"/>
        </w:rPr>
      </w:pPr>
      <w:r>
        <w:rPr>
          <w:rFonts w:ascii="楷体" w:hAnsi="楷体" w:eastAsia="楷体" w:cs="楷体"/>
          <w:color w:val="000000"/>
        </w:rPr>
        <w:t>材料二下图为墨西哥略图。</w:t>
      </w:r>
    </w:p>
    <w:p w14:paraId="730FB2A4">
      <w:pPr>
        <w:spacing w:line="360" w:lineRule="auto"/>
        <w:jc w:val="left"/>
        <w:textAlignment w:val="center"/>
        <w:rPr>
          <w:color w:val="000000"/>
        </w:rPr>
      </w:pPr>
      <w:r>
        <w:rPr>
          <w:color w:val="000000"/>
        </w:rPr>
        <w:drawing>
          <wp:inline distT="0" distB="0" distL="0" distR="0">
            <wp:extent cx="4905375" cy="25622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4905375" cy="2562225"/>
                    </a:xfrm>
                    <a:prstGeom prst="rect">
                      <a:avLst/>
                    </a:prstGeom>
                  </pic:spPr>
                </pic:pic>
              </a:graphicData>
            </a:graphic>
          </wp:inline>
        </w:drawing>
      </w:r>
    </w:p>
    <w:p w14:paraId="3C4532FE">
      <w:pPr>
        <w:spacing w:line="360" w:lineRule="auto"/>
        <w:jc w:val="left"/>
        <w:textAlignment w:val="center"/>
        <w:rPr>
          <w:color w:val="000000"/>
        </w:rPr>
      </w:pPr>
      <w:r>
        <w:rPr>
          <w:color w:val="000000"/>
        </w:rPr>
        <w:t>（1）</w:t>
      </w:r>
      <w:r>
        <w:rPr>
          <w:rFonts w:ascii="宋体" w:hAnsi="宋体"/>
          <w:color w:val="000000"/>
        </w:rPr>
        <w:t>说出制约该国高速公路建设的地形条件。</w:t>
      </w:r>
    </w:p>
    <w:p w14:paraId="45C20607">
      <w:pPr>
        <w:spacing w:line="360" w:lineRule="auto"/>
        <w:jc w:val="left"/>
        <w:textAlignment w:val="center"/>
        <w:rPr>
          <w:color w:val="000000"/>
        </w:rPr>
      </w:pPr>
      <w:r>
        <w:rPr>
          <w:color w:val="000000"/>
        </w:rPr>
        <w:t>（2）</w:t>
      </w:r>
      <w:r>
        <w:rPr>
          <w:rFonts w:ascii="宋体" w:hAnsi="宋体"/>
          <w:color w:val="000000"/>
        </w:rPr>
        <w:t>简述该国汽车产业发展模式的劣势。</w:t>
      </w:r>
    </w:p>
    <w:p w14:paraId="3F6E0685">
      <w:pPr>
        <w:spacing w:line="360" w:lineRule="auto"/>
        <w:jc w:val="left"/>
        <w:textAlignment w:val="center"/>
        <w:rPr>
          <w:color w:val="000000"/>
        </w:rPr>
      </w:pPr>
      <w:r>
        <w:rPr>
          <w:color w:val="000000"/>
        </w:rPr>
        <w:t>（3）</w:t>
      </w:r>
      <w:r>
        <w:rPr>
          <w:rFonts w:ascii="宋体" w:hAnsi="宋体"/>
          <w:color w:val="000000"/>
        </w:rPr>
        <w:t>分析该国电动汽车产业发展的基本思路。</w:t>
      </w:r>
    </w:p>
    <w:p w14:paraId="7AFCFD32">
      <w:pPr>
        <w:spacing w:line="360" w:lineRule="auto"/>
        <w:jc w:val="left"/>
        <w:textAlignment w:val="center"/>
        <w:rPr>
          <w:color w:val="000000"/>
        </w:rPr>
      </w:pPr>
      <w:r>
        <w:rPr>
          <w:color w:val="000000"/>
        </w:rPr>
        <w:t xml:space="preserve">27. </w:t>
      </w:r>
      <w:r>
        <w:rPr>
          <w:rFonts w:ascii="宋体" w:hAnsi="宋体"/>
          <w:color w:val="000000"/>
        </w:rPr>
        <w:t>阅读材料，完成下列问题。</w:t>
      </w:r>
    </w:p>
    <w:p w14:paraId="568A620C">
      <w:pPr>
        <w:spacing w:line="360" w:lineRule="auto"/>
        <w:ind w:firstLine="420"/>
        <w:jc w:val="left"/>
        <w:textAlignment w:val="center"/>
        <w:rPr>
          <w:color w:val="000000"/>
        </w:rPr>
      </w:pPr>
      <w:r>
        <w:rPr>
          <w:rFonts w:ascii="楷体" w:hAnsi="楷体" w:eastAsia="楷体" w:cs="楷体"/>
          <w:color w:val="000000"/>
        </w:rPr>
        <w:t>材料一一个特定区域的大气降水主要由水汽输入与水汽输出决定。长江流域多年平均水汽输入、输出和径流量之间基本平衡。长江流域受季风影响，降水变率较大。2022年长江流域出现了“主汛期反枯”、长期高温少雨的大面积干旱现象，中下游的许多支流和湖泊干涸。</w:t>
      </w:r>
    </w:p>
    <w:p w14:paraId="15E03C01">
      <w:pPr>
        <w:spacing w:line="360" w:lineRule="auto"/>
        <w:ind w:firstLine="420"/>
        <w:jc w:val="left"/>
        <w:textAlignment w:val="center"/>
        <w:rPr>
          <w:color w:val="000000"/>
        </w:rPr>
      </w:pPr>
      <w:r>
        <w:rPr>
          <w:rFonts w:ascii="楷体" w:hAnsi="楷体" w:eastAsia="楷体" w:cs="楷体"/>
          <w:color w:val="000000"/>
        </w:rPr>
        <w:t>材料二下图为长江流域水循环简图及长江流域示意图。</w:t>
      </w:r>
    </w:p>
    <w:p w14:paraId="566ABD71">
      <w:pPr>
        <w:spacing w:line="360" w:lineRule="auto"/>
        <w:jc w:val="left"/>
        <w:textAlignment w:val="center"/>
        <w:rPr>
          <w:color w:val="000000"/>
        </w:rPr>
      </w:pPr>
      <w:r>
        <w:rPr>
          <w:color w:val="000000"/>
        </w:rPr>
        <w:drawing>
          <wp:inline distT="0" distB="0" distL="0" distR="0">
            <wp:extent cx="5238750" cy="224726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5238750" cy="2247319"/>
                    </a:xfrm>
                    <a:prstGeom prst="rect">
                      <a:avLst/>
                    </a:prstGeom>
                  </pic:spPr>
                </pic:pic>
              </a:graphicData>
            </a:graphic>
          </wp:inline>
        </w:drawing>
      </w:r>
    </w:p>
    <w:p w14:paraId="57F2720A">
      <w:pPr>
        <w:spacing w:line="360" w:lineRule="auto"/>
        <w:jc w:val="left"/>
        <w:textAlignment w:val="center"/>
        <w:rPr>
          <w:color w:val="000000"/>
        </w:rPr>
      </w:pPr>
      <w:r>
        <w:rPr>
          <w:color w:val="000000"/>
        </w:rPr>
        <w:t>（1）</w:t>
      </w:r>
      <w:r>
        <w:rPr>
          <w:rFonts w:ascii="宋体" w:hAnsi="宋体"/>
          <w:color w:val="000000"/>
        </w:rPr>
        <w:t>分析长江下游地区8月降水年际变率大的原因。</w:t>
      </w:r>
    </w:p>
    <w:p w14:paraId="0B0DC93F">
      <w:pPr>
        <w:spacing w:line="360" w:lineRule="auto"/>
        <w:jc w:val="left"/>
        <w:textAlignment w:val="center"/>
        <w:rPr>
          <w:color w:val="000000"/>
        </w:rPr>
      </w:pPr>
      <w:r>
        <w:rPr>
          <w:color w:val="000000"/>
        </w:rPr>
        <w:t>（2）</w:t>
      </w:r>
      <w:r>
        <w:rPr>
          <w:rFonts w:ascii="宋体" w:hAnsi="宋体"/>
          <w:color w:val="000000"/>
        </w:rPr>
        <w:t>图中长江流域入海径流占比为</w:t>
      </w:r>
      <w:r>
        <w:rPr>
          <w:color w:val="000000"/>
        </w:rPr>
        <w:t>____</w:t>
      </w:r>
      <w:r>
        <w:rPr>
          <w:rFonts w:ascii="宋体" w:hAnsi="宋体"/>
          <w:color w:val="000000"/>
        </w:rPr>
        <w:t>。说出长江沿江城市在工业高质量发展中合理利用水资源的策略</w:t>
      </w:r>
      <w:r>
        <w:rPr>
          <w:color w:val="000000"/>
        </w:rPr>
        <w:t>____</w:t>
      </w:r>
      <w:r>
        <w:rPr>
          <w:rFonts w:ascii="宋体" w:hAnsi="宋体"/>
          <w:color w:val="000000"/>
        </w:rPr>
        <w:t>。</w:t>
      </w:r>
    </w:p>
    <w:p w14:paraId="2AEE20AC">
      <w:pPr>
        <w:spacing w:line="360" w:lineRule="auto"/>
        <w:jc w:val="left"/>
        <w:textAlignment w:val="center"/>
        <w:rPr>
          <w:color w:val="000000"/>
        </w:rPr>
      </w:pPr>
      <w:r>
        <w:rPr>
          <w:color w:val="000000"/>
        </w:rPr>
        <w:t>（3）</w:t>
      </w:r>
      <w:r>
        <w:rPr>
          <w:rFonts w:ascii="宋体" w:hAnsi="宋体"/>
          <w:color w:val="000000"/>
        </w:rPr>
        <w:t>针对2022年长江流域干旱状况，专家认为仅调长江上游水库的水无法有效解决中下游农业缺水问题，试从水循环角度分析原因。</w:t>
      </w:r>
    </w:p>
    <w:p w14:paraId="0C683576">
      <w:pPr>
        <w:spacing w:line="360" w:lineRule="auto"/>
        <w:jc w:val="left"/>
        <w:textAlignment w:val="center"/>
        <w:rPr>
          <w:color w:val="000000"/>
        </w:rPr>
      </w:pPr>
      <w:r>
        <w:rPr>
          <w:color w:val="000000"/>
        </w:rPr>
        <w:t xml:space="preserve">28. </w:t>
      </w:r>
      <w:r>
        <w:rPr>
          <w:rFonts w:ascii="宋体" w:hAnsi="宋体"/>
          <w:color w:val="000000"/>
        </w:rPr>
        <w:t>阅读材料，完成下列问题。</w:t>
      </w:r>
    </w:p>
    <w:p w14:paraId="14D7B494">
      <w:pPr>
        <w:spacing w:line="360" w:lineRule="auto"/>
        <w:ind w:firstLine="420"/>
        <w:jc w:val="left"/>
        <w:textAlignment w:val="center"/>
        <w:rPr>
          <w:color w:val="000000"/>
        </w:rPr>
      </w:pPr>
      <w:r>
        <w:rPr>
          <w:rFonts w:ascii="楷体" w:hAnsi="楷体" w:eastAsia="楷体" w:cs="楷体"/>
          <w:color w:val="000000"/>
        </w:rPr>
        <w:t>材料一昆仑山地区岩浆岩含钾较高，其北部察尔汗盐湖有丰富的钾、镁等资源。察尔汗盐湖是我国最大的钾盐、钾肥生产基地，该基地通过对盐湖卤水自然蒸发析盐的选矿方法来进行钾盐生产。近年来随着钾肥产量的逐年攀升，钾资源尤其是高品位钾资源卤水矿已被逐渐开发殆尽。</w:t>
      </w:r>
    </w:p>
    <w:p w14:paraId="32375AE6">
      <w:pPr>
        <w:spacing w:line="360" w:lineRule="auto"/>
        <w:ind w:firstLine="420"/>
        <w:jc w:val="left"/>
        <w:textAlignment w:val="center"/>
        <w:rPr>
          <w:color w:val="000000"/>
        </w:rPr>
      </w:pPr>
      <w:r>
        <w:rPr>
          <w:rFonts w:ascii="楷体" w:hAnsi="楷体" w:eastAsia="楷体" w:cs="楷体"/>
          <w:color w:val="000000"/>
        </w:rPr>
        <w:t>材料二左图为察尔汗及周边地区略图，右图为察尔汗多年月平均气象要素图。</w:t>
      </w:r>
    </w:p>
    <w:p w14:paraId="10A6E7D3">
      <w:pPr>
        <w:spacing w:line="360" w:lineRule="auto"/>
        <w:jc w:val="left"/>
        <w:textAlignment w:val="center"/>
        <w:rPr>
          <w:color w:val="000000"/>
        </w:rPr>
      </w:pPr>
      <w:r>
        <w:rPr>
          <w:color w:val="000000"/>
        </w:rPr>
        <w:drawing>
          <wp:inline distT="0" distB="0" distL="0" distR="0">
            <wp:extent cx="5238750" cy="293179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238750" cy="2932177"/>
                    </a:xfrm>
                    <a:prstGeom prst="rect">
                      <a:avLst/>
                    </a:prstGeom>
                  </pic:spPr>
                </pic:pic>
              </a:graphicData>
            </a:graphic>
          </wp:inline>
        </w:drawing>
      </w:r>
    </w:p>
    <w:p w14:paraId="6E183AF4">
      <w:pPr>
        <w:spacing w:line="360" w:lineRule="auto"/>
        <w:ind w:firstLine="420"/>
        <w:jc w:val="left"/>
        <w:textAlignment w:val="center"/>
        <w:rPr>
          <w:color w:val="000000"/>
        </w:rPr>
      </w:pPr>
      <w:r>
        <w:rPr>
          <w:rFonts w:ascii="楷体" w:hAnsi="楷体" w:eastAsia="楷体" w:cs="楷体"/>
          <w:color w:val="000000"/>
        </w:rPr>
        <w:t>材料三世界主要钾盐储量国、生产国和我国钾盐主要进口国表</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3"/>
        <w:gridCol w:w="896"/>
        <w:gridCol w:w="1001"/>
        <w:gridCol w:w="804"/>
        <w:gridCol w:w="896"/>
        <w:gridCol w:w="1590"/>
        <w:gridCol w:w="1157"/>
        <w:gridCol w:w="1367"/>
        <w:gridCol w:w="1472"/>
      </w:tblGrid>
      <w:tr w14:paraId="3E104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9A9069">
            <w:pPr>
              <w:spacing w:line="360" w:lineRule="auto"/>
              <w:jc w:val="left"/>
              <w:textAlignment w:val="center"/>
              <w:rPr>
                <w:color w:val="000000"/>
              </w:rPr>
            </w:pPr>
            <w:r>
              <w:rPr>
                <w:rFonts w:ascii="宋体" w:hAnsi="宋体"/>
                <w:color w:val="000000"/>
              </w:rPr>
              <w:t>钾盐主要</w:t>
            </w:r>
          </w:p>
          <w:p w14:paraId="6EA2EA07">
            <w:pPr>
              <w:spacing w:line="360" w:lineRule="auto"/>
              <w:jc w:val="left"/>
              <w:textAlignment w:val="center"/>
              <w:rPr>
                <w:color w:val="000000"/>
              </w:rPr>
            </w:pPr>
            <w:r>
              <w:rPr>
                <w:rFonts w:ascii="宋体" w:hAnsi="宋体"/>
                <w:color w:val="000000"/>
              </w:rPr>
              <w:t>储量国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F8FF3B">
            <w:pPr>
              <w:spacing w:line="360" w:lineRule="auto"/>
              <w:jc w:val="left"/>
              <w:textAlignment w:val="center"/>
              <w:rPr>
                <w:color w:val="000000"/>
              </w:rPr>
            </w:pPr>
            <w:r>
              <w:rPr>
                <w:rFonts w:ascii="宋体" w:hAnsi="宋体"/>
                <w:color w:val="000000"/>
              </w:rPr>
              <w:t>储量</w:t>
            </w:r>
          </w:p>
          <w:p w14:paraId="3D6481D4">
            <w:pPr>
              <w:spacing w:line="360" w:lineRule="auto"/>
              <w:jc w:val="left"/>
              <w:textAlignment w:val="center"/>
              <w:rPr>
                <w:color w:val="000000"/>
              </w:rPr>
            </w:pPr>
            <w:r>
              <w:rPr>
                <w:rFonts w:ascii="宋体" w:hAnsi="宋体"/>
                <w:color w:val="000000"/>
              </w:rPr>
              <w:t>（亿吨）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D5848C">
            <w:pPr>
              <w:spacing w:line="360" w:lineRule="auto"/>
              <w:jc w:val="left"/>
              <w:textAlignment w:val="center"/>
              <w:rPr>
                <w:color w:val="000000"/>
              </w:rPr>
            </w:pPr>
            <w:r>
              <w:rPr>
                <w:rFonts w:ascii="宋体" w:hAnsi="宋体"/>
                <w:color w:val="000000"/>
              </w:rPr>
              <w:t>储量世界</w:t>
            </w:r>
          </w:p>
          <w:p w14:paraId="414AC33B">
            <w:pPr>
              <w:spacing w:line="360" w:lineRule="auto"/>
              <w:jc w:val="left"/>
              <w:textAlignment w:val="center"/>
              <w:rPr>
                <w:color w:val="000000"/>
              </w:rPr>
            </w:pPr>
            <w:r>
              <w:rPr>
                <w:rFonts w:ascii="宋体" w:hAnsi="宋体"/>
                <w:color w:val="000000"/>
              </w:rPr>
              <w:t>占比（%）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307623">
            <w:pPr>
              <w:spacing w:line="360" w:lineRule="auto"/>
              <w:jc w:val="left"/>
              <w:textAlignment w:val="center"/>
              <w:rPr>
                <w:color w:val="000000"/>
              </w:rPr>
            </w:pPr>
            <w:r>
              <w:rPr>
                <w:rFonts w:ascii="宋体" w:hAnsi="宋体"/>
                <w:color w:val="000000"/>
              </w:rPr>
              <w:t>钾盐主要</w:t>
            </w:r>
          </w:p>
          <w:p w14:paraId="1A311667">
            <w:pPr>
              <w:spacing w:line="360" w:lineRule="auto"/>
              <w:jc w:val="left"/>
              <w:textAlignment w:val="center"/>
              <w:rPr>
                <w:color w:val="000000"/>
              </w:rPr>
            </w:pPr>
            <w:r>
              <w:rPr>
                <w:rFonts w:ascii="宋体" w:hAnsi="宋体"/>
                <w:color w:val="000000"/>
              </w:rPr>
              <w:t>生产国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35204B">
            <w:pPr>
              <w:spacing w:line="360" w:lineRule="auto"/>
              <w:jc w:val="left"/>
              <w:textAlignment w:val="center"/>
              <w:rPr>
                <w:color w:val="000000"/>
              </w:rPr>
            </w:pPr>
            <w:r>
              <w:rPr>
                <w:rFonts w:ascii="宋体" w:hAnsi="宋体"/>
                <w:color w:val="000000"/>
              </w:rPr>
              <w:t>年产量</w:t>
            </w:r>
          </w:p>
          <w:p w14:paraId="5924C3E6">
            <w:pPr>
              <w:spacing w:line="360" w:lineRule="auto"/>
              <w:jc w:val="left"/>
              <w:textAlignment w:val="center"/>
              <w:rPr>
                <w:color w:val="000000"/>
              </w:rPr>
            </w:pPr>
            <w:r>
              <w:rPr>
                <w:rFonts w:ascii="宋体" w:hAnsi="宋体"/>
                <w:color w:val="000000"/>
              </w:rPr>
              <w:t>（万吨）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7C228C">
            <w:pPr>
              <w:spacing w:line="360" w:lineRule="auto"/>
              <w:jc w:val="left"/>
              <w:textAlignment w:val="center"/>
              <w:rPr>
                <w:color w:val="000000"/>
              </w:rPr>
            </w:pPr>
            <w:r>
              <w:rPr>
                <w:rFonts w:ascii="宋体" w:hAnsi="宋体"/>
                <w:color w:val="000000"/>
              </w:rPr>
              <w:t>年产量世界占比（%）</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464674">
            <w:pPr>
              <w:spacing w:line="360" w:lineRule="auto"/>
              <w:jc w:val="left"/>
              <w:textAlignment w:val="center"/>
              <w:rPr>
                <w:color w:val="000000"/>
              </w:rPr>
            </w:pPr>
            <w:r>
              <w:rPr>
                <w:rFonts w:ascii="宋体" w:hAnsi="宋体"/>
                <w:color w:val="000000"/>
              </w:rPr>
              <w:t>我国主要进口国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0991B3">
            <w:pPr>
              <w:spacing w:line="360" w:lineRule="auto"/>
              <w:jc w:val="left"/>
              <w:textAlignment w:val="center"/>
              <w:rPr>
                <w:color w:val="000000"/>
              </w:rPr>
            </w:pPr>
            <w:r>
              <w:rPr>
                <w:rFonts w:ascii="宋体" w:hAnsi="宋体"/>
                <w:color w:val="000000"/>
              </w:rPr>
              <w:t>年进口量（万吨）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277DC3">
            <w:pPr>
              <w:spacing w:line="360" w:lineRule="auto"/>
              <w:jc w:val="left"/>
              <w:textAlignment w:val="center"/>
              <w:rPr>
                <w:color w:val="000000"/>
              </w:rPr>
            </w:pPr>
            <w:r>
              <w:rPr>
                <w:rFonts w:ascii="宋体" w:hAnsi="宋体"/>
                <w:color w:val="000000"/>
              </w:rPr>
              <w:t>年进口量占比（%）</w:t>
            </w:r>
          </w:p>
        </w:tc>
      </w:tr>
      <w:tr w14:paraId="26275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7523CF">
            <w:pPr>
              <w:spacing w:line="360" w:lineRule="auto"/>
              <w:jc w:val="left"/>
              <w:textAlignment w:val="center"/>
              <w:rPr>
                <w:color w:val="000000"/>
              </w:rPr>
            </w:pPr>
            <w:r>
              <w:rPr>
                <w:rFonts w:ascii="宋体" w:hAnsi="宋体"/>
                <w:color w:val="000000"/>
              </w:rPr>
              <w:t>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EB7E10">
            <w:pPr>
              <w:spacing w:line="360" w:lineRule="auto"/>
              <w:jc w:val="left"/>
              <w:textAlignment w:val="center"/>
              <w:rPr>
                <w:color w:val="000000"/>
              </w:rPr>
            </w:pPr>
            <w:r>
              <w:rPr>
                <w:rFonts w:ascii="宋体" w:hAnsi="宋体"/>
                <w:color w:val="000000"/>
              </w:rPr>
              <w:t>49.1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4FF8B1">
            <w:pPr>
              <w:spacing w:line="360" w:lineRule="auto"/>
              <w:jc w:val="left"/>
              <w:textAlignment w:val="center"/>
              <w:rPr>
                <w:color w:val="000000"/>
              </w:rPr>
            </w:pPr>
            <w:r>
              <w:rPr>
                <w:rFonts w:ascii="宋体" w:hAnsi="宋体"/>
                <w:color w:val="000000"/>
              </w:rPr>
              <w:t>38.2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045FB8">
            <w:pPr>
              <w:spacing w:line="360" w:lineRule="auto"/>
              <w:jc w:val="left"/>
              <w:textAlignment w:val="center"/>
              <w:rPr>
                <w:color w:val="000000"/>
              </w:rPr>
            </w:pPr>
            <w:r>
              <w:rPr>
                <w:rFonts w:ascii="宋体" w:hAnsi="宋体"/>
                <w:color w:val="000000"/>
              </w:rPr>
              <w:t>加拿大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D8B8E9">
            <w:pPr>
              <w:spacing w:line="360" w:lineRule="auto"/>
              <w:jc w:val="left"/>
              <w:textAlignment w:val="center"/>
              <w:rPr>
                <w:color w:val="000000"/>
              </w:rPr>
            </w:pPr>
            <w:r>
              <w:rPr>
                <w:rFonts w:ascii="宋体" w:hAnsi="宋体"/>
                <w:color w:val="000000"/>
              </w:rPr>
              <w:t>1399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3A9CC8">
            <w:pPr>
              <w:spacing w:line="360" w:lineRule="auto"/>
              <w:jc w:val="left"/>
              <w:textAlignment w:val="center"/>
              <w:rPr>
                <w:color w:val="000000"/>
              </w:rPr>
            </w:pPr>
            <w:r>
              <w:rPr>
                <w:rFonts w:ascii="宋体" w:hAnsi="宋体"/>
                <w:color w:val="000000"/>
              </w:rPr>
              <w:t>32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9D9235">
            <w:pPr>
              <w:spacing w:line="360" w:lineRule="auto"/>
              <w:jc w:val="left"/>
              <w:textAlignment w:val="center"/>
              <w:rPr>
                <w:color w:val="000000"/>
              </w:rPr>
            </w:pPr>
            <w:r>
              <w:rPr>
                <w:rFonts w:ascii="宋体" w:hAnsi="宋体"/>
                <w:color w:val="000000"/>
              </w:rPr>
              <w:t>加拿大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FE9DCC">
            <w:pPr>
              <w:spacing w:line="360" w:lineRule="auto"/>
              <w:jc w:val="left"/>
              <w:textAlignment w:val="center"/>
              <w:rPr>
                <w:color w:val="000000"/>
              </w:rPr>
            </w:pPr>
            <w:r>
              <w:rPr>
                <w:rFonts w:ascii="宋体" w:hAnsi="宋体"/>
                <w:color w:val="000000"/>
              </w:rPr>
              <w:t>191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F86AD6">
            <w:pPr>
              <w:spacing w:line="360" w:lineRule="auto"/>
              <w:jc w:val="left"/>
              <w:textAlignment w:val="center"/>
              <w:rPr>
                <w:color w:val="000000"/>
              </w:rPr>
            </w:pPr>
            <w:r>
              <w:rPr>
                <w:rFonts w:ascii="宋体" w:hAnsi="宋体"/>
                <w:color w:val="000000"/>
              </w:rPr>
              <w:t>40</w:t>
            </w:r>
          </w:p>
        </w:tc>
      </w:tr>
      <w:tr w14:paraId="6FE0F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6AEF6D">
            <w:pPr>
              <w:spacing w:line="360" w:lineRule="auto"/>
              <w:jc w:val="left"/>
              <w:textAlignment w:val="center"/>
              <w:rPr>
                <w:color w:val="000000"/>
              </w:rPr>
            </w:pPr>
            <w:r>
              <w:rPr>
                <w:rFonts w:ascii="宋体" w:hAnsi="宋体"/>
                <w:color w:val="000000"/>
              </w:rPr>
              <w:t>加拿大</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7010FA">
            <w:pPr>
              <w:spacing w:line="360" w:lineRule="auto"/>
              <w:jc w:val="left"/>
              <w:textAlignment w:val="center"/>
              <w:rPr>
                <w:color w:val="000000"/>
              </w:rPr>
            </w:pPr>
            <w:r>
              <w:rPr>
                <w:rFonts w:ascii="宋体" w:hAnsi="宋体"/>
                <w:color w:val="000000"/>
              </w:rPr>
              <w:t>32</w:t>
            </w:r>
            <w:r>
              <w:rPr>
                <w:rFonts w:ascii="宋体" w:hAnsi="宋体"/>
                <w:color w:val="000000"/>
                <w:position w:val="-22"/>
              </w:rPr>
              <w:drawing>
                <wp:inline distT="0" distB="0" distL="0" distR="0">
                  <wp:extent cx="31750" cy="889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rFonts w:ascii="宋体" w:hAnsi="宋体"/>
                <w:color w:val="000000"/>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47FB45">
            <w:pPr>
              <w:spacing w:line="360" w:lineRule="auto"/>
              <w:jc w:val="left"/>
              <w:textAlignment w:val="center"/>
              <w:rPr>
                <w:color w:val="000000"/>
              </w:rPr>
            </w:pPr>
            <w:r>
              <w:rPr>
                <w:rFonts w:ascii="宋体" w:hAnsi="宋体"/>
                <w:color w:val="000000"/>
              </w:rPr>
              <w:t>25.4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7F6599">
            <w:pPr>
              <w:spacing w:line="360" w:lineRule="auto"/>
              <w:jc w:val="left"/>
              <w:textAlignment w:val="center"/>
              <w:rPr>
                <w:color w:val="000000"/>
              </w:rPr>
            </w:pPr>
            <w:r>
              <w:rPr>
                <w:rFonts w:ascii="宋体" w:hAnsi="宋体"/>
                <w:color w:val="000000"/>
              </w:rPr>
              <w:t>白俄罗斯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698F20">
            <w:pPr>
              <w:spacing w:line="360" w:lineRule="auto"/>
              <w:jc w:val="left"/>
              <w:textAlignment w:val="center"/>
              <w:rPr>
                <w:color w:val="000000"/>
              </w:rPr>
            </w:pPr>
            <w:r>
              <w:rPr>
                <w:rFonts w:ascii="宋体" w:hAnsi="宋体"/>
                <w:color w:val="000000"/>
              </w:rPr>
              <w:t>726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A491B8">
            <w:pPr>
              <w:spacing w:line="360" w:lineRule="auto"/>
              <w:jc w:val="left"/>
              <w:textAlignment w:val="center"/>
              <w:rPr>
                <w:color w:val="000000"/>
              </w:rPr>
            </w:pPr>
            <w:r>
              <w:rPr>
                <w:rFonts w:ascii="宋体" w:hAnsi="宋体"/>
                <w:color w:val="000000"/>
              </w:rPr>
              <w:t>17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772A8C">
            <w:pPr>
              <w:spacing w:line="360" w:lineRule="auto"/>
              <w:jc w:val="left"/>
              <w:textAlignment w:val="center"/>
              <w:rPr>
                <w:color w:val="000000"/>
              </w:rPr>
            </w:pPr>
            <w:r>
              <w:rPr>
                <w:rFonts w:ascii="宋体" w:hAnsi="宋体"/>
                <w:color w:val="000000"/>
              </w:rPr>
              <w:t>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A7E327">
            <w:pPr>
              <w:spacing w:line="360" w:lineRule="auto"/>
              <w:jc w:val="left"/>
              <w:textAlignment w:val="center"/>
              <w:rPr>
                <w:color w:val="000000"/>
              </w:rPr>
            </w:pPr>
            <w:r>
              <w:rPr>
                <w:rFonts w:ascii="宋体" w:hAnsi="宋体"/>
                <w:color w:val="000000"/>
              </w:rPr>
              <w:t>98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C1FBAD">
            <w:pPr>
              <w:spacing w:line="360" w:lineRule="auto"/>
              <w:jc w:val="left"/>
              <w:textAlignment w:val="center"/>
              <w:rPr>
                <w:color w:val="000000"/>
              </w:rPr>
            </w:pPr>
            <w:r>
              <w:rPr>
                <w:rFonts w:ascii="宋体" w:hAnsi="宋体"/>
                <w:color w:val="000000"/>
              </w:rPr>
              <w:t>21</w:t>
            </w:r>
          </w:p>
        </w:tc>
      </w:tr>
      <w:tr w14:paraId="34C95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A2F998">
            <w:pPr>
              <w:spacing w:line="360" w:lineRule="auto"/>
              <w:jc w:val="left"/>
              <w:textAlignment w:val="center"/>
              <w:rPr>
                <w:color w:val="000000"/>
              </w:rPr>
            </w:pPr>
            <w:r>
              <w:rPr>
                <w:rFonts w:ascii="宋体" w:hAnsi="宋体"/>
                <w:color w:val="000000"/>
              </w:rPr>
              <w:t>白俄罗斯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4E0DF7">
            <w:pPr>
              <w:spacing w:line="360" w:lineRule="auto"/>
              <w:jc w:val="left"/>
              <w:textAlignment w:val="center"/>
              <w:rPr>
                <w:color w:val="000000"/>
              </w:rPr>
            </w:pPr>
            <w:r>
              <w:rPr>
                <w:rFonts w:ascii="宋体" w:hAnsi="宋体"/>
                <w:color w:val="000000"/>
              </w:rPr>
              <w:t>12.9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7A9D16">
            <w:pPr>
              <w:spacing w:line="360" w:lineRule="auto"/>
              <w:jc w:val="left"/>
              <w:textAlignment w:val="center"/>
              <w:rPr>
                <w:color w:val="000000"/>
              </w:rPr>
            </w:pPr>
            <w:r>
              <w:rPr>
                <w:rFonts w:ascii="宋体" w:hAnsi="宋体"/>
                <w:color w:val="000000"/>
              </w:rPr>
              <w:t>10.0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E94576">
            <w:pPr>
              <w:spacing w:line="360" w:lineRule="auto"/>
              <w:jc w:val="left"/>
              <w:textAlignment w:val="center"/>
              <w:rPr>
                <w:color w:val="000000"/>
              </w:rPr>
            </w:pPr>
            <w:r>
              <w:rPr>
                <w:rFonts w:ascii="宋体" w:hAnsi="宋体"/>
                <w:color w:val="000000"/>
              </w:rPr>
              <w:t>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1A8BFF">
            <w:pPr>
              <w:spacing w:line="360" w:lineRule="auto"/>
              <w:jc w:val="left"/>
              <w:textAlignment w:val="center"/>
              <w:rPr>
                <w:color w:val="000000"/>
              </w:rPr>
            </w:pPr>
            <w:r>
              <w:rPr>
                <w:rFonts w:ascii="宋体" w:hAnsi="宋体"/>
                <w:color w:val="000000"/>
              </w:rPr>
              <w:t>705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797E18">
            <w:pPr>
              <w:spacing w:line="360" w:lineRule="auto"/>
              <w:jc w:val="left"/>
              <w:textAlignment w:val="center"/>
              <w:rPr>
                <w:color w:val="000000"/>
              </w:rPr>
            </w:pPr>
            <w:r>
              <w:rPr>
                <w:rFonts w:ascii="宋体" w:hAnsi="宋体"/>
                <w:color w:val="000000"/>
              </w:rPr>
              <w:t>16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E72AFF">
            <w:pPr>
              <w:spacing w:line="360" w:lineRule="auto"/>
              <w:jc w:val="left"/>
              <w:textAlignment w:val="center"/>
              <w:rPr>
                <w:color w:val="000000"/>
              </w:rPr>
            </w:pPr>
            <w:r>
              <w:rPr>
                <w:rFonts w:ascii="宋体" w:hAnsi="宋体"/>
                <w:color w:val="000000"/>
              </w:rPr>
              <w:t>白俄罗斯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694F08">
            <w:pPr>
              <w:spacing w:line="360" w:lineRule="auto"/>
              <w:jc w:val="left"/>
              <w:textAlignment w:val="center"/>
              <w:rPr>
                <w:color w:val="000000"/>
              </w:rPr>
            </w:pPr>
            <w:r>
              <w:rPr>
                <w:rFonts w:ascii="宋体" w:hAnsi="宋体"/>
                <w:color w:val="000000"/>
              </w:rPr>
              <w:t>89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09A9F1">
            <w:pPr>
              <w:spacing w:line="360" w:lineRule="auto"/>
              <w:jc w:val="left"/>
              <w:textAlignment w:val="center"/>
              <w:rPr>
                <w:color w:val="000000"/>
              </w:rPr>
            </w:pPr>
            <w:r>
              <w:rPr>
                <w:rFonts w:ascii="宋体" w:hAnsi="宋体"/>
                <w:color w:val="000000"/>
              </w:rPr>
              <w:t>19</w:t>
            </w:r>
          </w:p>
        </w:tc>
      </w:tr>
      <w:tr w14:paraId="07592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82BEA8">
            <w:pPr>
              <w:spacing w:line="360" w:lineRule="auto"/>
              <w:jc w:val="left"/>
              <w:textAlignment w:val="center"/>
              <w:rPr>
                <w:color w:val="000000"/>
              </w:rPr>
            </w:pPr>
            <w:r>
              <w:rPr>
                <w:rFonts w:ascii="宋体" w:hAnsi="宋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D90753">
            <w:pPr>
              <w:spacing w:line="360" w:lineRule="auto"/>
              <w:jc w:val="left"/>
              <w:textAlignment w:val="center"/>
              <w:rPr>
                <w:color w:val="000000"/>
              </w:rPr>
            </w:pPr>
            <w:r>
              <w:rPr>
                <w:rFonts w:ascii="宋体" w:hAnsi="宋体"/>
                <w:color w:val="000000"/>
              </w:rPr>
              <w:t>3.2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FAE242">
            <w:pPr>
              <w:spacing w:line="360" w:lineRule="auto"/>
              <w:jc w:val="left"/>
              <w:textAlignment w:val="center"/>
              <w:rPr>
                <w:color w:val="000000"/>
              </w:rPr>
            </w:pPr>
            <w:r>
              <w:rPr>
                <w:rFonts w:ascii="宋体" w:hAnsi="宋体"/>
                <w:color w:val="000000"/>
              </w:rPr>
              <w:t>2</w:t>
            </w:r>
            <w:r>
              <w:rPr>
                <w:rFonts w:ascii="宋体" w:hAnsi="宋体"/>
                <w:color w:val="000000"/>
                <w:position w:val="-22"/>
              </w:rPr>
              <w:drawing>
                <wp:inline distT="0" distB="0" distL="0" distR="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rFonts w:ascii="宋体" w:hAnsi="宋体"/>
                <w:color w:val="000000"/>
              </w:rPr>
              <w:t>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C6AF0D">
            <w:pPr>
              <w:spacing w:line="360" w:lineRule="auto"/>
              <w:jc w:val="left"/>
              <w:textAlignment w:val="center"/>
              <w:rPr>
                <w:color w:val="000000"/>
              </w:rPr>
            </w:pPr>
            <w:r>
              <w:rPr>
                <w:rFonts w:ascii="宋体" w:hAnsi="宋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3684F4">
            <w:pPr>
              <w:spacing w:line="360" w:lineRule="auto"/>
              <w:jc w:val="left"/>
              <w:textAlignment w:val="center"/>
              <w:rPr>
                <w:color w:val="000000"/>
              </w:rPr>
            </w:pPr>
            <w:r>
              <w:rPr>
                <w:rFonts w:ascii="宋体" w:hAnsi="宋体"/>
                <w:color w:val="000000"/>
              </w:rPr>
              <w:t>541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97489A">
            <w:pPr>
              <w:spacing w:line="360" w:lineRule="auto"/>
              <w:jc w:val="left"/>
              <w:textAlignment w:val="center"/>
              <w:rPr>
                <w:color w:val="000000"/>
              </w:rPr>
            </w:pPr>
            <w:r>
              <w:rPr>
                <w:rFonts w:ascii="宋体" w:hAnsi="宋体"/>
                <w:color w:val="000000"/>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C90C1E">
            <w:pPr>
              <w:spacing w:line="360" w:lineRule="auto"/>
              <w:jc w:val="left"/>
              <w:textAlignment w:val="center"/>
              <w:rPr>
                <w:color w:val="000000"/>
              </w:rPr>
            </w:pPr>
            <w:r>
              <w:rPr>
                <w:rFonts w:ascii="宋体" w:hAnsi="宋体"/>
                <w:color w:val="000000"/>
              </w:rPr>
              <w:t>其他</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E2C260">
            <w:pPr>
              <w:spacing w:line="360" w:lineRule="auto"/>
              <w:jc w:val="left"/>
              <w:textAlignment w:val="center"/>
              <w:rPr>
                <w:color w:val="000000"/>
              </w:rPr>
            </w:pPr>
            <w:r>
              <w:rPr>
                <w:rFonts w:ascii="宋体" w:hAnsi="宋体"/>
                <w:color w:val="000000"/>
              </w:rPr>
              <w:t>93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47B0E0">
            <w:pPr>
              <w:spacing w:line="360" w:lineRule="auto"/>
              <w:jc w:val="left"/>
              <w:textAlignment w:val="center"/>
              <w:rPr>
                <w:color w:val="000000"/>
              </w:rPr>
            </w:pPr>
            <w:r>
              <w:rPr>
                <w:rFonts w:ascii="宋体" w:hAnsi="宋体"/>
                <w:color w:val="000000"/>
              </w:rPr>
              <w:t>20</w:t>
            </w:r>
          </w:p>
        </w:tc>
      </w:tr>
    </w:tbl>
    <w:p w14:paraId="021CDA17">
      <w:pPr>
        <w:spacing w:line="360" w:lineRule="auto"/>
        <w:ind w:firstLine="420"/>
        <w:jc w:val="left"/>
        <w:textAlignment w:val="center"/>
        <w:rPr>
          <w:color w:val="000000"/>
        </w:rPr>
      </w:pPr>
      <w:r>
        <w:rPr>
          <w:rFonts w:ascii="楷体" w:hAnsi="楷体" w:eastAsia="楷体" w:cs="楷体"/>
          <w:color w:val="000000"/>
        </w:rPr>
        <w:t>注：储量为2020年数据，产量和进口量为2018年数据。</w:t>
      </w:r>
    </w:p>
    <w:p w14:paraId="27E7555C">
      <w:pPr>
        <w:spacing w:line="360" w:lineRule="auto"/>
        <w:jc w:val="left"/>
        <w:textAlignment w:val="center"/>
        <w:rPr>
          <w:color w:val="000000"/>
        </w:rPr>
      </w:pPr>
      <w:r>
        <w:rPr>
          <w:color w:val="000000"/>
        </w:rPr>
        <w:t>（1）</w:t>
      </w:r>
      <w:r>
        <w:rPr>
          <w:rFonts w:ascii="宋体" w:hAnsi="宋体"/>
          <w:color w:val="000000"/>
        </w:rPr>
        <w:t>根据右图信息，说出察尔汗主要气候特征。</w:t>
      </w:r>
    </w:p>
    <w:p w14:paraId="70C27C51">
      <w:pPr>
        <w:spacing w:line="360" w:lineRule="auto"/>
        <w:jc w:val="left"/>
        <w:textAlignment w:val="center"/>
        <w:rPr>
          <w:color w:val="000000"/>
        </w:rPr>
      </w:pPr>
      <w:r>
        <w:rPr>
          <w:color w:val="000000"/>
        </w:rPr>
        <w:t>（2）</w:t>
      </w:r>
      <w:r>
        <w:rPr>
          <w:rFonts w:ascii="宋体" w:hAnsi="宋体"/>
          <w:color w:val="000000"/>
        </w:rPr>
        <w:t>指出格尔木河乙至甲河段含钾量的变化趋势，并分析该地理现象的形成过程。</w:t>
      </w:r>
    </w:p>
    <w:p w14:paraId="702834B8">
      <w:pPr>
        <w:spacing w:line="360" w:lineRule="auto"/>
        <w:jc w:val="left"/>
        <w:textAlignment w:val="center"/>
        <w:rPr>
          <w:color w:val="000000"/>
        </w:rPr>
      </w:pPr>
      <w:r>
        <w:rPr>
          <w:color w:val="000000"/>
        </w:rPr>
        <w:t>（3）</w:t>
      </w:r>
      <w:r>
        <w:rPr>
          <w:rFonts w:ascii="宋体" w:hAnsi="宋体"/>
          <w:color w:val="000000"/>
        </w:rPr>
        <w:t>指出钾盐生产对盐湖环境</w:t>
      </w:r>
      <w:r>
        <w:rPr>
          <w:rFonts w:ascii="宋体" w:hAnsi="宋体"/>
          <w:color w:val="000000"/>
        </w:rPr>
        <w:drawing>
          <wp:inline distT="0" distB="0" distL="0" distR="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color w:val="000000"/>
        </w:rPr>
        <w:t>不利影响。</w:t>
      </w:r>
    </w:p>
    <w:p w14:paraId="517B7C7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（4）</w:t>
      </w:r>
      <w:r>
        <w:rPr>
          <w:rFonts w:ascii="宋体" w:hAnsi="宋体"/>
          <w:color w:val="000000"/>
        </w:rPr>
        <w:t>分析我国钾盐供应安全风险较高的原因。</w:t>
      </w:r>
    </w:p>
    <w:p w14:paraId="0961CFCC">
      <w:bookmarkStart w:id="0" w:name="_GoBack"/>
      <w:bookmarkEnd w:id="0"/>
    </w:p>
    <w:sectPr>
      <w:footerReference r:id="rId9" w:type="default"/>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35C3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35D5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14B14">
    <w:pPr>
      <w:pStyle w:val="2"/>
      <w:pBdr>
        <w:bottom w:val="none" w:color="auto" w:sz="0" w:space="0"/>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1AF7A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5367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51A9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46468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0CD1"/>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76C45"/>
    <w:rsid w:val="00880A38"/>
    <w:rsid w:val="00893DD6"/>
    <w:rsid w:val="008D2E94"/>
    <w:rsid w:val="0090278E"/>
    <w:rsid w:val="00974E0F"/>
    <w:rsid w:val="00982128"/>
    <w:rsid w:val="009A27BF"/>
    <w:rsid w:val="009B5666"/>
    <w:rsid w:val="009C4252"/>
    <w:rsid w:val="009E203F"/>
    <w:rsid w:val="00A07DF2"/>
    <w:rsid w:val="00A405DB"/>
    <w:rsid w:val="00A536B0"/>
    <w:rsid w:val="00AB70E1"/>
    <w:rsid w:val="00AD6B6A"/>
    <w:rsid w:val="00B80D67"/>
    <w:rsid w:val="00B8100F"/>
    <w:rsid w:val="00B96924"/>
    <w:rsid w:val="00BA1A7E"/>
    <w:rsid w:val="00BB505B"/>
    <w:rsid w:val="00BB50C6"/>
    <w:rsid w:val="00BE1BCD"/>
    <w:rsid w:val="00C02815"/>
    <w:rsid w:val="00C02FC6"/>
    <w:rsid w:val="00C321EB"/>
    <w:rsid w:val="00CA4A07"/>
    <w:rsid w:val="00D51257"/>
    <w:rsid w:val="00D634C2"/>
    <w:rsid w:val="00D756B6"/>
    <w:rsid w:val="00D77F6E"/>
    <w:rsid w:val="00DA0796"/>
    <w:rsid w:val="00DA5448"/>
    <w:rsid w:val="00DF071B"/>
    <w:rsid w:val="00DF64D1"/>
    <w:rsid w:val="00E63075"/>
    <w:rsid w:val="00E97096"/>
    <w:rsid w:val="00EA0188"/>
    <w:rsid w:val="00EB17B4"/>
    <w:rsid w:val="00ED1550"/>
    <w:rsid w:val="00EE1A37"/>
    <w:rsid w:val="00F21C80"/>
    <w:rsid w:val="00F64612"/>
    <w:rsid w:val="00F676FD"/>
    <w:rsid w:val="00F72514"/>
    <w:rsid w:val="00FA0944"/>
    <w:rsid w:val="00FB34D2"/>
    <w:rsid w:val="00FB4B17"/>
    <w:rsid w:val="00FC5860"/>
    <w:rsid w:val="00FD377B"/>
    <w:rsid w:val="00FF2D79"/>
    <w:rsid w:val="00FF517A"/>
    <w:rsid w:val="3409388E"/>
    <w:rsid w:val="38274566"/>
    <w:rsid w:val="69415403"/>
    <w:rsid w:val="695C3E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29.wmf"/><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wmf"/><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Pages>11</Pages>
  <Words>3434</Words>
  <Characters>3681</Characters>
  <Lines>0</Lines>
  <Paragraphs>0</Paragraphs>
  <TotalTime>0</TotalTime>
  <ScaleCrop>false</ScaleCrop>
  <LinksUpToDate>false</LinksUpToDate>
  <CharactersWithSpaces>3954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2026-02-10T06:55:29Z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B894EDE06993412DA71B231E59EEFBC4_12</vt:lpwstr>
  </property>
</Properties>
</file>