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9BBC21">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12306300</wp:posOffset>
            </wp:positionH>
            <wp:positionV relativeFrom="topMargin">
              <wp:posOffset>11188700</wp:posOffset>
            </wp:positionV>
            <wp:extent cx="330200" cy="482600"/>
            <wp:effectExtent l="0" t="0" r="12700" b="1270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a:stretch>
                      <a:fillRect/>
                    </a:stretch>
                  </pic:blipFill>
                  <pic:spPr>
                    <a:xfrm>
                      <a:off x="0" y="0"/>
                      <a:ext cx="330200" cy="482600"/>
                    </a:xfrm>
                    <a:prstGeom prst="rect">
                      <a:avLst/>
                    </a:prstGeom>
                  </pic:spPr>
                </pic:pic>
              </a:graphicData>
            </a:graphic>
          </wp:anchor>
        </w:drawing>
      </w:r>
      <w:r>
        <w:rPr>
          <w:rFonts w:ascii="宋体" w:hAnsi="宋体" w:eastAsia="宋体" w:cs="宋体"/>
          <w:b/>
          <w:color w:val="auto"/>
          <w:sz w:val="32"/>
        </w:rPr>
        <w:t>安徽省</w:t>
      </w:r>
      <w:r>
        <w:rPr>
          <w:rFonts w:ascii="Times New Roman" w:hAnsi="Times New Roman" w:eastAsia="Times New Roman" w:cs="Times New Roman"/>
          <w:b/>
          <w:color w:val="auto"/>
          <w:sz w:val="32"/>
        </w:rPr>
        <w:t>2024</w:t>
      </w:r>
      <w:r>
        <w:rPr>
          <w:rFonts w:ascii="宋体" w:hAnsi="宋体" w:eastAsia="宋体" w:cs="宋体"/>
          <w:b/>
          <w:color w:val="auto"/>
          <w:sz w:val="32"/>
        </w:rPr>
        <w:t>年普通高中学业水平选择性考试</w:t>
      </w:r>
    </w:p>
    <w:p w14:paraId="05C43C5C">
      <w:pPr>
        <w:spacing w:line="285" w:lineRule="auto"/>
        <w:jc w:val="center"/>
      </w:pPr>
      <w:r>
        <w:rPr>
          <w:rFonts w:ascii="宋体" w:hAnsi="宋体" w:eastAsia="宋体" w:cs="宋体"/>
          <w:b/>
          <w:color w:val="auto"/>
          <w:sz w:val="32"/>
        </w:rPr>
        <w:t>地理</w:t>
      </w:r>
    </w:p>
    <w:p w14:paraId="56E81E25">
      <w:pPr>
        <w:spacing w:line="285" w:lineRule="auto"/>
        <w:jc w:val="center"/>
      </w:pPr>
      <w:r>
        <w:rPr>
          <w:rFonts w:ascii="宋体" w:hAnsi="宋体" w:eastAsia="宋体" w:cs="宋体"/>
          <w:b/>
          <w:color w:val="auto"/>
          <w:sz w:val="24"/>
        </w:rPr>
        <w:t>本试卷满分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75</w:t>
      </w:r>
      <w:r>
        <w:rPr>
          <w:rFonts w:ascii="宋体" w:hAnsi="宋体" w:eastAsia="宋体" w:cs="宋体"/>
          <w:b/>
          <w:color w:val="auto"/>
          <w:sz w:val="24"/>
        </w:rPr>
        <w:t>分钟。</w:t>
      </w:r>
    </w:p>
    <w:p w14:paraId="252434A4">
      <w:pPr>
        <w:spacing w:line="285"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16</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分。在每小题给出的四个选项中，只有一项是符合题目要求的。</w:t>
      </w:r>
    </w:p>
    <w:p w14:paraId="7F3DA991">
      <w:pPr>
        <w:spacing w:line="360" w:lineRule="auto"/>
        <w:ind w:firstLine="420"/>
        <w:jc w:val="both"/>
      </w:pPr>
      <w:r>
        <w:rPr>
          <w:rFonts w:ascii="楷体" w:hAnsi="楷体" w:eastAsia="楷体" w:cs="楷体"/>
          <w:color w:val="auto"/>
        </w:rPr>
        <w:t>中国科学院某研究所经过多年持续攻关，研制出大型低温制冷装备，可用于氢气、氮气液化，大幅减小气体体积。不同于以往“先实验室突破、再中试、再产业化”的模式，研究所在该装备研制过程中联合社会资本共同创立科技公司，创造性地探索出“边研究、边应用、边转化”的发展模式。据此完成下面小题。</w:t>
      </w:r>
    </w:p>
    <w:p w14:paraId="5AEE8B5B">
      <w:pPr>
        <w:spacing w:line="360" w:lineRule="auto"/>
        <w:jc w:val="left"/>
        <w:textAlignment w:val="center"/>
        <w:rPr>
          <w:color w:val="auto"/>
        </w:rPr>
      </w:pPr>
      <w:r>
        <w:t xml:space="preserve">1. </w:t>
      </w:r>
      <w:r>
        <w:rPr>
          <w:rFonts w:ascii="宋体" w:hAnsi="宋体" w:eastAsia="宋体" w:cs="宋体"/>
          <w:color w:val="auto"/>
        </w:rPr>
        <w:t>利用大型低温制冷装备将氢气液化，可以（</w:t>
      </w:r>
      <w:r>
        <w:rPr>
          <w:rFonts w:ascii="Times New Roman" w:hAnsi="Times New Roman" w:eastAsia="Times New Roman" w:cs="Times New Roman"/>
          <w:color w:val="auto"/>
        </w:rPr>
        <w:t xml:space="preserve">    </w:t>
      </w:r>
      <w:r>
        <w:rPr>
          <w:rFonts w:ascii="宋体" w:hAnsi="宋体" w:eastAsia="宋体" w:cs="宋体"/>
          <w:color w:val="auto"/>
        </w:rPr>
        <w:t>）</w:t>
      </w:r>
    </w:p>
    <w:p w14:paraId="60BDBA63">
      <w:pPr>
        <w:tabs>
          <w:tab w:val="left" w:pos="4873"/>
        </w:tabs>
        <w:spacing w:line="360" w:lineRule="auto"/>
        <w:jc w:val="left"/>
        <w:textAlignment w:val="center"/>
        <w:rPr>
          <w:color w:val="auto"/>
        </w:rPr>
      </w:pPr>
      <w:r>
        <w:t xml:space="preserve">A. </w:t>
      </w:r>
      <w:r>
        <w:rPr>
          <w:rFonts w:ascii="宋体" w:hAnsi="宋体" w:eastAsia="宋体" w:cs="宋体"/>
          <w:color w:val="auto"/>
        </w:rPr>
        <w:t>确保能源安全</w:t>
      </w:r>
      <w:r>
        <w:tab/>
      </w:r>
      <w:r>
        <w:t xml:space="preserve">B. </w:t>
      </w:r>
      <w:r>
        <w:rPr>
          <w:rFonts w:ascii="宋体" w:hAnsi="宋体" w:eastAsia="宋体" w:cs="宋体"/>
          <w:color w:val="auto"/>
        </w:rPr>
        <w:t>保证运输过程零碳排放</w:t>
      </w:r>
    </w:p>
    <w:p w14:paraId="4A6C836B">
      <w:pPr>
        <w:tabs>
          <w:tab w:val="left" w:pos="4873"/>
        </w:tabs>
        <w:spacing w:line="360" w:lineRule="auto"/>
        <w:jc w:val="left"/>
        <w:textAlignment w:val="center"/>
        <w:rPr>
          <w:color w:val="auto"/>
        </w:rPr>
      </w:pPr>
      <w:r>
        <w:t xml:space="preserve">C. </w:t>
      </w:r>
      <w:r>
        <w:rPr>
          <w:rFonts w:ascii="宋体" w:hAnsi="宋体" w:eastAsia="宋体" w:cs="宋体"/>
          <w:color w:val="auto"/>
        </w:rPr>
        <w:t>取代其他能源</w:t>
      </w:r>
      <w:r>
        <w:tab/>
      </w:r>
      <w:r>
        <w:t xml:space="preserve">D. </w:t>
      </w:r>
      <w:r>
        <w:rPr>
          <w:rFonts w:ascii="宋体" w:hAnsi="宋体" w:eastAsia="宋体" w:cs="宋体"/>
          <w:color w:val="auto"/>
        </w:rPr>
        <w:t>方便大规模储存与运输</w:t>
      </w:r>
    </w:p>
    <w:p w14:paraId="7890D330">
      <w:pPr>
        <w:spacing w:line="360" w:lineRule="auto"/>
        <w:jc w:val="left"/>
        <w:textAlignment w:val="center"/>
        <w:rPr>
          <w:color w:val="auto"/>
        </w:rPr>
      </w:pPr>
      <w:r>
        <w:t xml:space="preserve">2. </w:t>
      </w:r>
      <w:r>
        <w:rPr>
          <w:rFonts w:ascii="宋体" w:hAnsi="宋体" w:eastAsia="宋体" w:cs="宋体"/>
          <w:color w:val="auto"/>
        </w:rPr>
        <w:t>与以往模式相比，该发展模式的突出优势是（</w:t>
      </w:r>
      <w:r>
        <w:rPr>
          <w:rFonts w:ascii="Times New Roman" w:hAnsi="Times New Roman" w:eastAsia="Times New Roman" w:cs="Times New Roman"/>
          <w:color w:val="auto"/>
        </w:rPr>
        <w:t xml:space="preserve">    </w:t>
      </w:r>
      <w:r>
        <w:rPr>
          <w:rFonts w:ascii="宋体" w:hAnsi="宋体" w:eastAsia="宋体" w:cs="宋体"/>
          <w:color w:val="auto"/>
        </w:rPr>
        <w:t>）</w:t>
      </w:r>
    </w:p>
    <w:p w14:paraId="05B376B2">
      <w:pPr>
        <w:tabs>
          <w:tab w:val="left" w:pos="4873"/>
        </w:tabs>
        <w:spacing w:line="360" w:lineRule="auto"/>
        <w:jc w:val="left"/>
        <w:textAlignment w:val="center"/>
        <w:rPr>
          <w:color w:val="auto"/>
        </w:rPr>
      </w:pPr>
      <w:r>
        <w:t xml:space="preserve">A. </w:t>
      </w:r>
      <w:r>
        <w:rPr>
          <w:rFonts w:ascii="宋体" w:hAnsi="宋体" w:eastAsia="宋体" w:cs="宋体"/>
          <w:color w:val="auto"/>
        </w:rPr>
        <w:t>提高创新研发水平</w:t>
      </w:r>
      <w:r>
        <w:tab/>
      </w:r>
      <w:r>
        <w:t xml:space="preserve">B. </w:t>
      </w:r>
      <w:r>
        <w:rPr>
          <w:rFonts w:ascii="宋体" w:hAnsi="宋体" w:eastAsia="宋体" w:cs="宋体"/>
          <w:color w:val="auto"/>
        </w:rPr>
        <w:t>降低企业经营风险</w:t>
      </w:r>
    </w:p>
    <w:p w14:paraId="63BEBEA8">
      <w:pPr>
        <w:tabs>
          <w:tab w:val="left" w:pos="4873"/>
        </w:tabs>
        <w:spacing w:line="360" w:lineRule="auto"/>
        <w:jc w:val="left"/>
        <w:textAlignment w:val="center"/>
        <w:rPr>
          <w:color w:val="auto"/>
        </w:rPr>
      </w:pPr>
      <w:r>
        <w:t xml:space="preserve">C. </w:t>
      </w:r>
      <w:r>
        <w:rPr>
          <w:rFonts w:ascii="宋体" w:hAnsi="宋体" w:eastAsia="宋体" w:cs="宋体"/>
          <w:color w:val="auto"/>
        </w:rPr>
        <w:t>缩短成果转化周期</w:t>
      </w:r>
      <w:r>
        <w:tab/>
      </w:r>
      <w:r>
        <w:t xml:space="preserve">D. </w:t>
      </w:r>
      <w:r>
        <w:rPr>
          <w:rFonts w:ascii="宋体" w:hAnsi="宋体" w:eastAsia="宋体" w:cs="宋体"/>
          <w:color w:val="auto"/>
        </w:rPr>
        <w:t>节约科学研究经费</w:t>
      </w:r>
    </w:p>
    <w:p w14:paraId="2F5DD6AB">
      <w:pPr>
        <w:spacing w:line="360" w:lineRule="auto"/>
        <w:jc w:val="left"/>
        <w:textAlignment w:val="center"/>
        <w:rPr>
          <w:color w:val="auto"/>
        </w:rPr>
      </w:pPr>
      <w:r>
        <w:t xml:space="preserve">3. </w:t>
      </w:r>
      <w:r>
        <w:rPr>
          <w:rFonts w:ascii="宋体" w:hAnsi="宋体" w:eastAsia="宋体" w:cs="宋体"/>
          <w:color w:val="auto"/>
        </w:rPr>
        <w:t>我国鼓励科研机构和企业深度合作的主要目的是（</w:t>
      </w:r>
      <w:r>
        <w:rPr>
          <w:rFonts w:ascii="Times New Roman" w:hAnsi="Times New Roman" w:eastAsia="Times New Roman" w:cs="Times New Roman"/>
          <w:color w:val="auto"/>
        </w:rPr>
        <w:t xml:space="preserve">    </w:t>
      </w:r>
      <w:r>
        <w:rPr>
          <w:rFonts w:ascii="宋体" w:hAnsi="宋体" w:eastAsia="宋体" w:cs="宋体"/>
          <w:color w:val="auto"/>
        </w:rPr>
        <w:t>）</w:t>
      </w:r>
    </w:p>
    <w:p w14:paraId="2470F34C">
      <w:pPr>
        <w:tabs>
          <w:tab w:val="left" w:pos="4873"/>
        </w:tabs>
        <w:spacing w:line="360" w:lineRule="auto"/>
        <w:jc w:val="left"/>
        <w:textAlignment w:val="center"/>
        <w:rPr>
          <w:color w:val="auto"/>
        </w:rPr>
      </w:pPr>
      <w:r>
        <w:t xml:space="preserve">A. </w:t>
      </w:r>
      <w:r>
        <w:rPr>
          <w:rFonts w:ascii="宋体" w:hAnsi="宋体" w:eastAsia="宋体" w:cs="宋体"/>
          <w:color w:val="auto"/>
        </w:rPr>
        <w:t>促进创新链产业链融合发展</w:t>
      </w:r>
      <w:r>
        <w:tab/>
      </w:r>
      <w:r>
        <w:t xml:space="preserve">B. </w:t>
      </w:r>
      <w:r>
        <w:rPr>
          <w:rFonts w:ascii="宋体" w:hAnsi="宋体" w:eastAsia="宋体" w:cs="宋体"/>
          <w:color w:val="auto"/>
        </w:rPr>
        <w:t>加快实现研发制造一体化</w:t>
      </w:r>
    </w:p>
    <w:p w14:paraId="58D3A7CF">
      <w:pPr>
        <w:tabs>
          <w:tab w:val="left" w:pos="4873"/>
        </w:tabs>
        <w:spacing w:line="360" w:lineRule="auto"/>
        <w:jc w:val="left"/>
        <w:textAlignment w:val="center"/>
        <w:rPr>
          <w:color w:val="000000"/>
        </w:rPr>
      </w:pPr>
      <w:r>
        <w:t xml:space="preserve">C. </w:t>
      </w:r>
      <w:r>
        <w:rPr>
          <w:rFonts w:ascii="宋体" w:hAnsi="宋体" w:eastAsia="宋体" w:cs="宋体"/>
          <w:color w:val="auto"/>
        </w:rPr>
        <w:t>促进合作主体间的信息共享</w:t>
      </w:r>
      <w:r>
        <w:tab/>
      </w:r>
      <w:r>
        <w:t xml:space="preserve">D. </w:t>
      </w:r>
      <w:r>
        <w:rPr>
          <w:rFonts w:ascii="宋体" w:hAnsi="宋体" w:eastAsia="宋体" w:cs="宋体"/>
          <w:color w:val="auto"/>
        </w:rPr>
        <w:t>加快合作主体的要素流动</w:t>
      </w:r>
    </w:p>
    <w:p w14:paraId="21E380C9">
      <w:pPr>
        <w:spacing w:line="360" w:lineRule="auto"/>
        <w:ind w:firstLine="420"/>
        <w:jc w:val="both"/>
        <w:textAlignment w:val="center"/>
        <w:rPr>
          <w:color w:val="000000"/>
        </w:rPr>
      </w:pPr>
      <w:r>
        <w:rPr>
          <w:rFonts w:ascii="楷体" w:hAnsi="楷体" w:eastAsia="楷体" w:cs="楷体"/>
          <w:color w:val="000000"/>
        </w:rPr>
        <w:t>河津市地处黄河与汾河交汇处，是灰陶琉璃的故乡。河津灰陶琉璃历史悠久，题材多样。如图为20世纪80年代以来河津灰陶琉璃产业发展历程。据此完成下面小题。</w:t>
      </w:r>
    </w:p>
    <w:p w14:paraId="37A37CF6">
      <w:pPr>
        <w:spacing w:line="360" w:lineRule="auto"/>
        <w:jc w:val="both"/>
        <w:textAlignment w:val="center"/>
        <w:rPr>
          <w:color w:val="000000"/>
        </w:rPr>
      </w:pPr>
      <w:r>
        <w:rPr>
          <w:color w:val="000000"/>
        </w:rPr>
        <w:drawing>
          <wp:inline distT="0" distB="0" distL="114300" distR="114300">
            <wp:extent cx="5238750" cy="2034540"/>
            <wp:effectExtent l="0" t="0" r="0" b="381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2035051"/>
                    </a:xfrm>
                    <a:prstGeom prst="rect">
                      <a:avLst/>
                    </a:prstGeom>
                  </pic:spPr>
                </pic:pic>
              </a:graphicData>
            </a:graphic>
          </wp:inline>
        </w:drawing>
      </w:r>
    </w:p>
    <w:p w14:paraId="6FC62848">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80</w:t>
      </w:r>
      <w:r>
        <w:rPr>
          <w:rFonts w:ascii="宋体" w:hAnsi="宋体" w:eastAsia="宋体" w:cs="宋体"/>
          <w:color w:val="000000"/>
        </w:rPr>
        <w:t>年代至</w:t>
      </w:r>
      <w:r>
        <w:rPr>
          <w:rFonts w:ascii="Times New Roman" w:hAnsi="Times New Roman" w:eastAsia="Times New Roman" w:cs="Times New Roman"/>
          <w:color w:val="000000"/>
        </w:rPr>
        <w:t>90</w:t>
      </w:r>
      <w:r>
        <w:rPr>
          <w:rFonts w:ascii="宋体" w:hAnsi="宋体" w:eastAsia="宋体" w:cs="宋体"/>
          <w:color w:val="000000"/>
        </w:rPr>
        <w:t>年代初，促使窑头村“家家有窑，户户生火”景象形成的主要因素是（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006DA77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技术、资源</w:t>
      </w:r>
      <w:r>
        <w:rPr>
          <w:color w:val="000000"/>
        </w:rPr>
        <w:tab/>
      </w:r>
      <w:r>
        <w:rPr>
          <w:color w:val="000000"/>
        </w:rPr>
        <w:t xml:space="preserve">B. </w:t>
      </w:r>
      <w:r>
        <w:rPr>
          <w:rFonts w:ascii="宋体" w:hAnsi="宋体" w:eastAsia="宋体" w:cs="宋体"/>
          <w:color w:val="000000"/>
        </w:rPr>
        <w:t>政策、技术</w:t>
      </w:r>
      <w:r>
        <w:rPr>
          <w:color w:val="000000"/>
        </w:rPr>
        <w:tab/>
      </w:r>
      <w:r>
        <w:rPr>
          <w:color w:val="000000"/>
        </w:rPr>
        <w:t xml:space="preserve">C. </w:t>
      </w:r>
      <w:r>
        <w:rPr>
          <w:rFonts w:ascii="宋体" w:hAnsi="宋体" w:eastAsia="宋体" w:cs="宋体"/>
          <w:color w:val="000000"/>
        </w:rPr>
        <w:t>政策、市场</w:t>
      </w:r>
      <w:r>
        <w:rPr>
          <w:color w:val="000000"/>
        </w:rPr>
        <w:tab/>
      </w:r>
      <w:r>
        <w:rPr>
          <w:color w:val="000000"/>
        </w:rPr>
        <w:t xml:space="preserve">D. </w:t>
      </w:r>
      <w:r>
        <w:rPr>
          <w:rFonts w:ascii="宋体" w:hAnsi="宋体" w:eastAsia="宋体" w:cs="宋体"/>
          <w:color w:val="000000"/>
        </w:rPr>
        <w:t>资源、市场</w:t>
      </w:r>
    </w:p>
    <w:p w14:paraId="4907183B">
      <w:pPr>
        <w:spacing w:line="360" w:lineRule="auto"/>
        <w:jc w:val="left"/>
        <w:textAlignment w:val="center"/>
        <w:rPr>
          <w:color w:val="000000"/>
        </w:rPr>
      </w:pPr>
      <w:r>
        <w:rPr>
          <w:color w:val="000000"/>
        </w:rPr>
        <w:t xml:space="preserve">5. </w:t>
      </w:r>
      <w:r>
        <w:rPr>
          <w:rFonts w:ascii="宋体" w:hAnsi="宋体" w:eastAsia="宋体" w:cs="宋体"/>
          <w:color w:val="000000"/>
        </w:rPr>
        <w:t>为促进河津龙门灰陶琉璃产业园特色发展，可重点关注（</w:t>
      </w:r>
      <w:r>
        <w:rPr>
          <w:rFonts w:ascii="Times New Roman" w:hAnsi="Times New Roman" w:eastAsia="Times New Roman" w:cs="Times New Roman"/>
          <w:color w:val="000000"/>
        </w:rPr>
        <w:t xml:space="preserve">    </w:t>
      </w:r>
      <w:r>
        <w:rPr>
          <w:rFonts w:ascii="宋体" w:hAnsi="宋体" w:eastAsia="宋体" w:cs="宋体"/>
          <w:color w:val="000000"/>
        </w:rPr>
        <w:t>）</w:t>
      </w:r>
    </w:p>
    <w:p w14:paraId="21FE86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文创研发</w:t>
      </w:r>
      <w:r>
        <w:rPr>
          <w:color w:val="000000"/>
        </w:rPr>
        <w:tab/>
      </w:r>
      <w:r>
        <w:rPr>
          <w:color w:val="000000"/>
        </w:rPr>
        <w:t xml:space="preserve">B. </w:t>
      </w:r>
      <w:r>
        <w:rPr>
          <w:rFonts w:ascii="宋体" w:hAnsi="宋体" w:eastAsia="宋体" w:cs="宋体"/>
          <w:color w:val="000000"/>
        </w:rPr>
        <w:t>生产加工</w:t>
      </w:r>
      <w:r>
        <w:rPr>
          <w:color w:val="000000"/>
        </w:rPr>
        <w:tab/>
      </w:r>
      <w:r>
        <w:rPr>
          <w:color w:val="000000"/>
        </w:rPr>
        <w:t xml:space="preserve">C. </w:t>
      </w:r>
      <w:r>
        <w:rPr>
          <w:rFonts w:ascii="宋体" w:hAnsi="宋体" w:eastAsia="宋体" w:cs="宋体"/>
          <w:color w:val="000000"/>
        </w:rPr>
        <w:t>网络直播营销</w:t>
      </w:r>
      <w:r>
        <w:rPr>
          <w:color w:val="000000"/>
        </w:rPr>
        <w:tab/>
      </w:r>
      <w:r>
        <w:rPr>
          <w:color w:val="000000"/>
        </w:rPr>
        <w:t xml:space="preserve">D. </w:t>
      </w:r>
      <w:r>
        <w:rPr>
          <w:rFonts w:ascii="宋体" w:hAnsi="宋体" w:eastAsia="宋体" w:cs="宋体"/>
          <w:color w:val="000000"/>
        </w:rPr>
        <w:t>现代物流</w:t>
      </w:r>
    </w:p>
    <w:p w14:paraId="3457AEE1">
      <w:pPr>
        <w:spacing w:line="360" w:lineRule="auto"/>
        <w:jc w:val="left"/>
        <w:textAlignment w:val="center"/>
        <w:rPr>
          <w:color w:val="000000"/>
        </w:rPr>
      </w:pPr>
      <w:r>
        <w:rPr>
          <w:color w:val="000000"/>
        </w:rPr>
        <w:t xml:space="preserve">6. </w:t>
      </w:r>
      <w:r>
        <w:rPr>
          <w:rFonts w:ascii="宋体" w:hAnsi="宋体" w:eastAsia="宋体" w:cs="宋体"/>
          <w:color w:val="000000"/>
        </w:rPr>
        <w:t>河津灰陶琉璃产业发展带来的社会效益是（</w:t>
      </w:r>
      <w:r>
        <w:rPr>
          <w:rFonts w:ascii="Times New Roman" w:hAnsi="Times New Roman" w:eastAsia="Times New Roman" w:cs="Times New Roman"/>
          <w:color w:val="000000"/>
        </w:rPr>
        <w:t xml:space="preserve">    </w:t>
      </w:r>
      <w:r>
        <w:rPr>
          <w:rFonts w:ascii="宋体" w:hAnsi="宋体" w:eastAsia="宋体" w:cs="宋体"/>
          <w:color w:val="000000"/>
        </w:rPr>
        <w:t>）</w:t>
      </w:r>
    </w:p>
    <w:p w14:paraId="17D0925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企业的竞争力增强</w:t>
      </w:r>
      <w:r>
        <w:rPr>
          <w:color w:val="000000"/>
        </w:rPr>
        <w:tab/>
      </w:r>
      <w:r>
        <w:rPr>
          <w:color w:val="000000"/>
        </w:rPr>
        <w:t xml:space="preserve">B. </w:t>
      </w:r>
      <w:r>
        <w:rPr>
          <w:rFonts w:ascii="宋体" w:hAnsi="宋体" w:eastAsia="宋体" w:cs="宋体"/>
          <w:color w:val="000000"/>
        </w:rPr>
        <w:t>文化遗产得到传承</w:t>
      </w:r>
      <w:r>
        <w:rPr>
          <w:color w:val="000000"/>
        </w:rPr>
        <w:tab/>
      </w:r>
      <w:r>
        <w:rPr>
          <w:color w:val="000000"/>
        </w:rPr>
        <w:t xml:space="preserve">C. </w:t>
      </w:r>
      <w:r>
        <w:rPr>
          <w:rFonts w:ascii="宋体" w:hAnsi="宋体" w:eastAsia="宋体" w:cs="宋体"/>
          <w:color w:val="000000"/>
        </w:rPr>
        <w:t>环境质量得到改善</w:t>
      </w:r>
      <w:r>
        <w:rPr>
          <w:color w:val="000000"/>
        </w:rPr>
        <w:tab/>
      </w:r>
      <w:r>
        <w:rPr>
          <w:color w:val="000000"/>
        </w:rPr>
        <w:t xml:space="preserve">D. </w:t>
      </w:r>
      <w:r>
        <w:rPr>
          <w:rFonts w:ascii="宋体" w:hAnsi="宋体" w:eastAsia="宋体" w:cs="宋体"/>
          <w:color w:val="000000"/>
        </w:rPr>
        <w:t>产业布局得到优化</w:t>
      </w:r>
    </w:p>
    <w:p w14:paraId="75BB8122">
      <w:pPr>
        <w:spacing w:line="360" w:lineRule="auto"/>
        <w:ind w:firstLine="420"/>
        <w:jc w:val="both"/>
        <w:textAlignment w:val="center"/>
        <w:rPr>
          <w:color w:val="000000"/>
        </w:rPr>
      </w:pPr>
      <w:r>
        <w:rPr>
          <w:rFonts w:ascii="楷体" w:hAnsi="楷体" w:eastAsia="楷体" w:cs="楷体"/>
          <w:color w:val="000000"/>
        </w:rPr>
        <w:t>地层沉积物的组成及粒径大小在一定程度上可以反映古地理环境的变化。陕西榆林横山区地处沙漠—黄土过渡带（如图1）。图2为横山区某地沉积地层剖面示意。该剖面厚度为17．55m，地层沉积连续，层位清晰。研究发现，该剖面古风成沙层平均粒径较大，沙质黄土层次之，沙质古土壤层最小。据此完成下面小题。</w:t>
      </w:r>
    </w:p>
    <w:p w14:paraId="48925FB2">
      <w:pPr>
        <w:spacing w:line="360" w:lineRule="auto"/>
        <w:jc w:val="both"/>
        <w:textAlignment w:val="center"/>
        <w:rPr>
          <w:color w:val="000000"/>
        </w:rPr>
      </w:pPr>
      <w:r>
        <w:rPr>
          <w:color w:val="000000"/>
        </w:rPr>
        <w:t xml:space="preserve">    </w:t>
      </w:r>
      <w:r>
        <w:rPr>
          <w:color w:val="000000"/>
        </w:rPr>
        <w:drawing>
          <wp:inline distT="0" distB="0" distL="114300" distR="114300">
            <wp:extent cx="3581400" cy="21050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581400" cy="2105025"/>
                    </a:xfrm>
                    <a:prstGeom prst="rect">
                      <a:avLst/>
                    </a:prstGeom>
                  </pic:spPr>
                </pic:pic>
              </a:graphicData>
            </a:graphic>
          </wp:inline>
        </w:drawing>
      </w:r>
    </w:p>
    <w:p w14:paraId="7EF5A7FB">
      <w:pPr>
        <w:spacing w:line="360" w:lineRule="auto"/>
        <w:jc w:val="left"/>
        <w:textAlignment w:val="center"/>
        <w:rPr>
          <w:color w:val="000000"/>
        </w:rPr>
      </w:pPr>
      <w:r>
        <w:rPr>
          <w:color w:val="000000"/>
        </w:rPr>
        <w:t xml:space="preserve">7. </w:t>
      </w:r>
      <w:r>
        <w:rPr>
          <w:rFonts w:ascii="宋体" w:hAnsi="宋体" w:eastAsia="宋体" w:cs="宋体"/>
          <w:color w:val="000000"/>
        </w:rPr>
        <w:t>推测该剖面古风成沙层沉积物的搬运动力主要是（</w:t>
      </w:r>
      <w:r>
        <w:rPr>
          <w:rFonts w:ascii="Times New Roman" w:hAnsi="Times New Roman" w:eastAsia="Times New Roman" w:cs="Times New Roman"/>
          <w:color w:val="000000"/>
        </w:rPr>
        <w:t xml:space="preserve">    </w:t>
      </w:r>
      <w:r>
        <w:rPr>
          <w:rFonts w:ascii="宋体" w:hAnsi="宋体" w:eastAsia="宋体" w:cs="宋体"/>
          <w:color w:val="000000"/>
        </w:rPr>
        <w:t>）</w:t>
      </w:r>
    </w:p>
    <w:p w14:paraId="7B71C3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高空西风气流</w:t>
      </w:r>
      <w:r>
        <w:rPr>
          <w:color w:val="000000"/>
        </w:rPr>
        <w:tab/>
      </w:r>
      <w:r>
        <w:rPr>
          <w:color w:val="000000"/>
        </w:rPr>
        <w:t xml:space="preserve">B. </w:t>
      </w:r>
      <w:r>
        <w:rPr>
          <w:rFonts w:ascii="宋体" w:hAnsi="宋体" w:eastAsia="宋体" w:cs="宋体"/>
          <w:color w:val="000000"/>
        </w:rPr>
        <w:t>东北信风</w:t>
      </w:r>
      <w:r>
        <w:rPr>
          <w:color w:val="000000"/>
        </w:rPr>
        <w:tab/>
      </w:r>
      <w:r>
        <w:rPr>
          <w:color w:val="000000"/>
        </w:rPr>
        <w:t xml:space="preserve">C. </w:t>
      </w:r>
      <w:r>
        <w:rPr>
          <w:rFonts w:ascii="宋体" w:hAnsi="宋体" w:eastAsia="宋体" w:cs="宋体"/>
          <w:color w:val="000000"/>
        </w:rPr>
        <w:t>东亚冬季风</w:t>
      </w:r>
      <w:r>
        <w:rPr>
          <w:color w:val="000000"/>
        </w:rPr>
        <w:tab/>
      </w:r>
      <w:r>
        <w:rPr>
          <w:color w:val="000000"/>
        </w:rPr>
        <w:t xml:space="preserve">D. </w:t>
      </w:r>
      <w:r>
        <w:rPr>
          <w:rFonts w:ascii="宋体" w:hAnsi="宋体" w:eastAsia="宋体" w:cs="宋体"/>
          <w:color w:val="000000"/>
        </w:rPr>
        <w:t>东亚夏季风</w:t>
      </w:r>
    </w:p>
    <w:p w14:paraId="5FF69743">
      <w:pPr>
        <w:spacing w:line="360" w:lineRule="auto"/>
        <w:jc w:val="left"/>
        <w:textAlignment w:val="center"/>
        <w:rPr>
          <w:color w:val="000000"/>
        </w:rPr>
      </w:pPr>
      <w:r>
        <w:rPr>
          <w:color w:val="000000"/>
        </w:rPr>
        <w:t xml:space="preserve">8. </w:t>
      </w:r>
      <w:r>
        <w:rPr>
          <w:rFonts w:ascii="宋体" w:hAnsi="宋体" w:eastAsia="宋体" w:cs="宋体"/>
          <w:color w:val="000000"/>
        </w:rPr>
        <w:t>在</w:t>
      </w:r>
      <w:r>
        <w:rPr>
          <w:rFonts w:ascii="Times New Roman" w:hAnsi="Times New Roman" w:eastAsia="Times New Roman" w:cs="Times New Roman"/>
          <w:color w:val="000000"/>
        </w:rPr>
        <w:t>a</w:t>
      </w:r>
      <w:r>
        <w:rPr>
          <w:color w:val="000000"/>
          <w:vertAlign w:val="subscript"/>
        </w:rPr>
        <w:t>1</w:t>
      </w:r>
      <w:r>
        <w:rPr>
          <w:rFonts w:ascii="宋体" w:hAnsi="宋体" w:eastAsia="宋体" w:cs="宋体"/>
          <w:color w:val="000000"/>
        </w:rPr>
        <w:t>到</w:t>
      </w:r>
      <w:r>
        <w:rPr>
          <w:rFonts w:ascii="Times New Roman" w:hAnsi="Times New Roman" w:eastAsia="Times New Roman" w:cs="Times New Roman"/>
          <w:color w:val="000000"/>
        </w:rPr>
        <w:t>c</w:t>
      </w:r>
      <w:r>
        <w:rPr>
          <w:color w:val="000000"/>
          <w:vertAlign w:val="subscript"/>
        </w:rPr>
        <w:t>1</w:t>
      </w:r>
      <w:r>
        <w:rPr>
          <w:rFonts w:ascii="宋体" w:hAnsi="宋体" w:eastAsia="宋体" w:cs="宋体"/>
          <w:color w:val="000000"/>
        </w:rPr>
        <w:t>地层沉积期间，总体上该地区（</w:t>
      </w:r>
      <w:r>
        <w:rPr>
          <w:rFonts w:ascii="Times New Roman" w:hAnsi="Times New Roman" w:eastAsia="Times New Roman" w:cs="Times New Roman"/>
          <w:color w:val="000000"/>
        </w:rPr>
        <w:t xml:space="preserve">    </w:t>
      </w:r>
      <w:r>
        <w:rPr>
          <w:rFonts w:ascii="宋体" w:hAnsi="宋体" w:eastAsia="宋体" w:cs="宋体"/>
          <w:color w:val="000000"/>
        </w:rPr>
        <w:t>）</w:t>
      </w:r>
    </w:p>
    <w:p w14:paraId="606333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气候由暖湿趋于冷干</w:t>
      </w:r>
      <w:r>
        <w:rPr>
          <w:color w:val="000000"/>
        </w:rPr>
        <w:tab/>
      </w:r>
      <w:r>
        <w:rPr>
          <w:color w:val="000000"/>
        </w:rPr>
        <w:t xml:space="preserve">B. </w:t>
      </w:r>
      <w:r>
        <w:rPr>
          <w:rFonts w:ascii="宋体" w:hAnsi="宋体" w:eastAsia="宋体" w:cs="宋体"/>
          <w:color w:val="000000"/>
        </w:rPr>
        <w:t>过渡带先向西北移动，再向东南移动</w:t>
      </w:r>
    </w:p>
    <w:p w14:paraId="17150B0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沙尘暴频次先减少后增加</w:t>
      </w:r>
      <w:r>
        <w:rPr>
          <w:color w:val="000000"/>
        </w:rPr>
        <w:tab/>
      </w:r>
      <w:r>
        <w:rPr>
          <w:color w:val="000000"/>
        </w:rPr>
        <w:t xml:space="preserve">D. </w:t>
      </w:r>
      <w:r>
        <w:rPr>
          <w:rFonts w:ascii="宋体" w:hAnsi="宋体" w:eastAsia="宋体" w:cs="宋体"/>
          <w:color w:val="000000"/>
        </w:rPr>
        <w:t>沙漠先向东南扩张，再向西北收缩</w:t>
      </w:r>
    </w:p>
    <w:p w14:paraId="568C6391">
      <w:pPr>
        <w:spacing w:line="360" w:lineRule="auto"/>
        <w:ind w:firstLine="420"/>
        <w:jc w:val="both"/>
        <w:textAlignment w:val="center"/>
        <w:rPr>
          <w:color w:val="000000"/>
        </w:rPr>
      </w:pPr>
      <w:r>
        <w:rPr>
          <w:rFonts w:ascii="楷体" w:hAnsi="楷体" w:eastAsia="楷体" w:cs="楷体"/>
          <w:color w:val="000000"/>
        </w:rPr>
        <w:t>如图为我国某地面观测站（47°06'N，87°58'E），海拔561m）某月1日前后连续4天太阳辐射、地面反射太阳辐射、地面长波辐射和大气逆辐射的通量逐小时观测结果。据此完成下面小题。</w:t>
      </w:r>
    </w:p>
    <w:p w14:paraId="5040A542">
      <w:pPr>
        <w:spacing w:line="360" w:lineRule="auto"/>
        <w:jc w:val="both"/>
        <w:textAlignment w:val="center"/>
        <w:rPr>
          <w:color w:val="000000"/>
        </w:rPr>
      </w:pPr>
      <w:r>
        <w:rPr>
          <w:color w:val="000000"/>
        </w:rPr>
        <w:drawing>
          <wp:inline distT="0" distB="0" distL="114300" distR="114300">
            <wp:extent cx="3133725" cy="14478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133725" cy="1447800"/>
                    </a:xfrm>
                    <a:prstGeom prst="rect">
                      <a:avLst/>
                    </a:prstGeom>
                  </pic:spPr>
                </pic:pic>
              </a:graphicData>
            </a:graphic>
          </wp:inline>
        </w:drawing>
      </w:r>
    </w:p>
    <w:p w14:paraId="0AD2DC41">
      <w:pPr>
        <w:spacing w:line="360" w:lineRule="auto"/>
        <w:jc w:val="left"/>
        <w:textAlignment w:val="center"/>
        <w:rPr>
          <w:color w:val="000000"/>
        </w:rPr>
      </w:pPr>
      <w:r>
        <w:rPr>
          <w:color w:val="000000"/>
        </w:rPr>
        <w:t xml:space="preserve">9. </w:t>
      </w:r>
      <w:r>
        <w:rPr>
          <w:rFonts w:ascii="宋体" w:hAnsi="宋体" w:eastAsia="宋体" w:cs="宋体"/>
          <w:color w:val="000000"/>
        </w:rPr>
        <w:t>图中甲、乙、丙三条曲线依次表示（</w:t>
      </w:r>
      <w:r>
        <w:rPr>
          <w:rFonts w:ascii="Times New Roman" w:hAnsi="Times New Roman" w:eastAsia="Times New Roman" w:cs="Times New Roman"/>
          <w:color w:val="000000"/>
        </w:rPr>
        <w:t xml:space="preserve">    </w:t>
      </w:r>
      <w:r>
        <w:rPr>
          <w:rFonts w:ascii="宋体" w:hAnsi="宋体" w:eastAsia="宋体" w:cs="宋体"/>
          <w:color w:val="000000"/>
        </w:rPr>
        <w:t>）</w:t>
      </w:r>
    </w:p>
    <w:p w14:paraId="62F5B87A">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地面长波辐射、地面反射太阳辐射、大气逆辐射</w:t>
      </w:r>
    </w:p>
    <w:p w14:paraId="2823DE51">
      <w:pPr>
        <w:spacing w:line="360" w:lineRule="auto"/>
        <w:jc w:val="left"/>
        <w:textAlignment w:val="center"/>
        <w:rPr>
          <w:color w:val="000000"/>
        </w:rPr>
      </w:pPr>
      <w:r>
        <w:rPr>
          <w:color w:val="000000"/>
        </w:rPr>
        <w:t xml:space="preserve">B. </w:t>
      </w:r>
      <w:r>
        <w:rPr>
          <w:rFonts w:ascii="宋体" w:hAnsi="宋体" w:eastAsia="宋体" w:cs="宋体"/>
          <w:color w:val="000000"/>
        </w:rPr>
        <w:t>地面长波辐射、大气逆辐射、地面反射太阳辐射</w:t>
      </w:r>
    </w:p>
    <w:p w14:paraId="78DF5686">
      <w:pPr>
        <w:spacing w:line="360" w:lineRule="auto"/>
        <w:jc w:val="left"/>
        <w:textAlignment w:val="center"/>
        <w:rPr>
          <w:color w:val="000000"/>
        </w:rPr>
      </w:pPr>
      <w:r>
        <w:rPr>
          <w:color w:val="000000"/>
        </w:rPr>
        <w:t xml:space="preserve">C. </w:t>
      </w:r>
      <w:r>
        <w:rPr>
          <w:rFonts w:ascii="宋体" w:hAnsi="宋体" w:eastAsia="宋体" w:cs="宋体"/>
          <w:color w:val="000000"/>
        </w:rPr>
        <w:t>大气逆辐射、地面反射太阳辐射、地面长波辐射</w:t>
      </w:r>
    </w:p>
    <w:p w14:paraId="68601571">
      <w:pPr>
        <w:spacing w:line="360" w:lineRule="auto"/>
        <w:jc w:val="left"/>
        <w:textAlignment w:val="center"/>
        <w:rPr>
          <w:color w:val="000000"/>
        </w:rPr>
      </w:pPr>
      <w:r>
        <w:rPr>
          <w:color w:val="000000"/>
        </w:rPr>
        <w:t xml:space="preserve">D. </w:t>
      </w:r>
      <w:r>
        <w:rPr>
          <w:rFonts w:ascii="宋体" w:hAnsi="宋体" w:eastAsia="宋体" w:cs="宋体"/>
          <w:color w:val="000000"/>
        </w:rPr>
        <w:t>大气逆辐射、地面长波辐射、地面反射太阳辐射</w:t>
      </w:r>
    </w:p>
    <w:p w14:paraId="7324FDBF">
      <w:pPr>
        <w:spacing w:line="360" w:lineRule="auto"/>
        <w:jc w:val="left"/>
        <w:textAlignment w:val="center"/>
        <w:rPr>
          <w:color w:val="000000"/>
        </w:rPr>
      </w:pPr>
      <w:r>
        <w:rPr>
          <w:color w:val="000000"/>
        </w:rPr>
        <w:t xml:space="preserve">10. </w:t>
      </w:r>
      <w:r>
        <w:rPr>
          <w:rFonts w:ascii="宋体" w:hAnsi="宋体" w:eastAsia="宋体" w:cs="宋体"/>
          <w:color w:val="000000"/>
        </w:rPr>
        <w:t>观测期间该地（</w:t>
      </w:r>
      <w:r>
        <w:rPr>
          <w:rFonts w:ascii="Times New Roman" w:hAnsi="Times New Roman" w:eastAsia="Times New Roman" w:cs="Times New Roman"/>
          <w:color w:val="000000"/>
        </w:rPr>
        <w:t xml:space="preserve">    </w:t>
      </w:r>
      <w:r>
        <w:rPr>
          <w:rFonts w:ascii="宋体" w:hAnsi="宋体" w:eastAsia="宋体" w:cs="宋体"/>
          <w:color w:val="000000"/>
        </w:rPr>
        <w:t>）</w:t>
      </w:r>
    </w:p>
    <w:p w14:paraId="60D33111">
      <w:pPr>
        <w:spacing w:line="360" w:lineRule="auto"/>
        <w:jc w:val="both"/>
        <w:textAlignment w:val="center"/>
        <w:rPr>
          <w:color w:val="000000"/>
        </w:rPr>
      </w:pPr>
      <w:r>
        <w:rPr>
          <w:rFonts w:ascii="宋体" w:hAnsi="宋体" w:eastAsia="宋体" w:cs="宋体"/>
          <w:color w:val="000000"/>
        </w:rPr>
        <w:t>①第</w:t>
      </w:r>
      <w:r>
        <w:rPr>
          <w:rFonts w:ascii="Times New Roman" w:hAnsi="Times New Roman" w:eastAsia="Times New Roman" w:cs="Times New Roman"/>
          <w:color w:val="000000"/>
        </w:rPr>
        <w:t>1</w:t>
      </w:r>
      <w:r>
        <w:rPr>
          <w:rFonts w:ascii="宋体" w:hAnsi="宋体" w:eastAsia="宋体" w:cs="宋体"/>
          <w:color w:val="000000"/>
        </w:rPr>
        <w:t>天晴朗无云</w:t>
      </w:r>
      <w:r>
        <w:rPr>
          <w:color w:val="000000"/>
        </w:rPr>
        <w:t xml:space="preserve">        </w:t>
      </w:r>
      <w:r>
        <w:rPr>
          <w:rFonts w:ascii="宋体" w:hAnsi="宋体" w:eastAsia="宋体" w:cs="宋体"/>
          <w:color w:val="000000"/>
        </w:rPr>
        <w:t>②第</w:t>
      </w:r>
      <w:r>
        <w:rPr>
          <w:rFonts w:ascii="Times New Roman" w:hAnsi="Times New Roman" w:eastAsia="Times New Roman" w:cs="Times New Roman"/>
          <w:color w:val="000000"/>
        </w:rPr>
        <w:t>2</w:t>
      </w:r>
      <w:r>
        <w:rPr>
          <w:rFonts w:ascii="宋体" w:hAnsi="宋体" w:eastAsia="宋体" w:cs="宋体"/>
          <w:color w:val="000000"/>
        </w:rPr>
        <w:t>天地面吸收的太阳辐射量最大</w:t>
      </w:r>
    </w:p>
    <w:p w14:paraId="716E9AE3">
      <w:pPr>
        <w:spacing w:line="360" w:lineRule="auto"/>
        <w:jc w:val="both"/>
        <w:textAlignment w:val="center"/>
        <w:rPr>
          <w:color w:val="000000"/>
        </w:rPr>
      </w:pPr>
      <w:r>
        <w:rPr>
          <w:rFonts w:ascii="宋体" w:hAnsi="宋体" w:eastAsia="宋体" w:cs="宋体"/>
          <w:color w:val="000000"/>
        </w:rPr>
        <w:t>③第</w:t>
      </w:r>
      <w:r>
        <w:rPr>
          <w:rFonts w:ascii="Times New Roman" w:hAnsi="Times New Roman" w:eastAsia="Times New Roman" w:cs="Times New Roman"/>
          <w:color w:val="000000"/>
        </w:rPr>
        <w:t>3</w:t>
      </w:r>
      <w:r>
        <w:rPr>
          <w:rFonts w:ascii="宋体" w:hAnsi="宋体" w:eastAsia="宋体" w:cs="宋体"/>
          <w:color w:val="000000"/>
        </w:rPr>
        <w:t>天比第</w:t>
      </w:r>
      <w:r>
        <w:rPr>
          <w:rFonts w:ascii="Times New Roman" w:hAnsi="Times New Roman" w:eastAsia="Times New Roman" w:cs="Times New Roman"/>
          <w:color w:val="000000"/>
        </w:rPr>
        <w:t>4</w:t>
      </w:r>
      <w:r>
        <w:rPr>
          <w:rFonts w:ascii="宋体" w:hAnsi="宋体" w:eastAsia="宋体" w:cs="宋体"/>
          <w:color w:val="000000"/>
        </w:rPr>
        <w:t>天大气透明度低</w:t>
      </w:r>
      <w:r>
        <w:rPr>
          <w:color w:val="000000"/>
        </w:rPr>
        <w:t xml:space="preserve">    </w:t>
      </w:r>
      <w:r>
        <w:rPr>
          <w:rFonts w:ascii="宋体" w:hAnsi="宋体" w:eastAsia="宋体" w:cs="宋体"/>
          <w:color w:val="000000"/>
        </w:rPr>
        <w:t>④可能经历了降水过程</w:t>
      </w:r>
    </w:p>
    <w:p w14:paraId="254E57F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③④</w:t>
      </w:r>
    </w:p>
    <w:p w14:paraId="29C4C308">
      <w:pPr>
        <w:spacing w:line="360" w:lineRule="auto"/>
        <w:jc w:val="left"/>
        <w:textAlignment w:val="center"/>
        <w:rPr>
          <w:color w:val="000000"/>
        </w:rPr>
      </w:pPr>
      <w:r>
        <w:rPr>
          <w:color w:val="000000"/>
        </w:rPr>
        <w:t xml:space="preserve">11. </w:t>
      </w:r>
      <w:r>
        <w:rPr>
          <w:rFonts w:ascii="宋体" w:hAnsi="宋体" w:eastAsia="宋体" w:cs="宋体"/>
          <w:color w:val="000000"/>
        </w:rPr>
        <w:t>该时段可能为（</w:t>
      </w:r>
      <w:r>
        <w:rPr>
          <w:rFonts w:ascii="Times New Roman" w:hAnsi="Times New Roman" w:eastAsia="Times New Roman" w:cs="Times New Roman"/>
          <w:color w:val="000000"/>
        </w:rPr>
        <w:t xml:space="preserve">    </w:t>
      </w:r>
      <w:r>
        <w:rPr>
          <w:rFonts w:ascii="宋体" w:hAnsi="宋体" w:eastAsia="宋体" w:cs="宋体"/>
          <w:color w:val="000000"/>
        </w:rPr>
        <w:t>）</w:t>
      </w:r>
    </w:p>
    <w:p w14:paraId="0A2417B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日前后</w:t>
      </w:r>
      <w:r>
        <w:rPr>
          <w:color w:val="000000"/>
        </w:rPr>
        <w:tab/>
      </w:r>
      <w:r>
        <w:rPr>
          <w:color w:val="000000"/>
        </w:rPr>
        <w:t xml:space="preserve">B. </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日前后</w:t>
      </w:r>
      <w:r>
        <w:rPr>
          <w:color w:val="000000"/>
        </w:rPr>
        <w:tab/>
      </w:r>
      <w:r>
        <w:rPr>
          <w:color w:val="000000"/>
        </w:rPr>
        <w:t xml:space="preserve">C. </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日前后</w:t>
      </w:r>
      <w:r>
        <w:rPr>
          <w:color w:val="000000"/>
        </w:rPr>
        <w:tab/>
      </w:r>
      <w:r>
        <w:rPr>
          <w:color w:val="000000"/>
        </w:rPr>
        <w:t xml:space="preserve">D. </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日前后</w:t>
      </w:r>
    </w:p>
    <w:p w14:paraId="13C150FA">
      <w:pPr>
        <w:spacing w:line="360" w:lineRule="auto"/>
        <w:ind w:firstLine="420"/>
        <w:jc w:val="both"/>
        <w:textAlignment w:val="center"/>
        <w:rPr>
          <w:color w:val="000000"/>
        </w:rPr>
      </w:pPr>
      <w:r>
        <w:rPr>
          <w:rFonts w:ascii="楷体" w:hAnsi="楷体" w:eastAsia="楷体" w:cs="楷体"/>
          <w:color w:val="000000"/>
        </w:rPr>
        <w:t>某全球海洋观测网在全球海洋投放数千个监测浮标，获取了全球海洋不同深度的温度、盐度、溶解氧、叶绿素等海量数据。我国于21世纪初加入该观测网。图1为我国在阿拉伯海投放的某个浮标2011年11月至2016年6月持续漂移轨迹示意，图2为该浮标获取的不同深度海水逐旬平均温度。据此完成下面小题。</w:t>
      </w:r>
    </w:p>
    <w:p w14:paraId="7156619E">
      <w:pPr>
        <w:spacing w:line="360" w:lineRule="auto"/>
        <w:jc w:val="both"/>
        <w:textAlignment w:val="center"/>
        <w:rPr>
          <w:color w:val="000000"/>
        </w:rPr>
      </w:pPr>
      <w:r>
        <w:rPr>
          <w:color w:val="000000"/>
        </w:rPr>
        <w:drawing>
          <wp:inline distT="0" distB="0" distL="114300" distR="114300">
            <wp:extent cx="2133600" cy="12858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133600" cy="128587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2495550" cy="14382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495550" cy="1438275"/>
                    </a:xfrm>
                    <a:prstGeom prst="rect">
                      <a:avLst/>
                    </a:prstGeom>
                  </pic:spPr>
                </pic:pic>
              </a:graphicData>
            </a:graphic>
          </wp:inline>
        </w:drawing>
      </w:r>
    </w:p>
    <w:p w14:paraId="076AE45C">
      <w:pPr>
        <w:spacing w:line="360" w:lineRule="auto"/>
        <w:jc w:val="both"/>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 xml:space="preserve">1                             </w:t>
      </w:r>
      <w:r>
        <w:rPr>
          <w:rFonts w:ascii="宋体" w:hAnsi="宋体" w:eastAsia="宋体" w:cs="宋体"/>
          <w:color w:val="000000"/>
        </w:rPr>
        <w:t>图</w:t>
      </w:r>
      <w:r>
        <w:rPr>
          <w:rFonts w:ascii="Times New Roman" w:hAnsi="Times New Roman" w:eastAsia="Times New Roman" w:cs="Times New Roman"/>
          <w:color w:val="000000"/>
        </w:rPr>
        <w:t>2</w:t>
      </w:r>
    </w:p>
    <w:p w14:paraId="496F5E43">
      <w:pPr>
        <w:spacing w:line="360" w:lineRule="auto"/>
        <w:jc w:val="left"/>
        <w:textAlignment w:val="center"/>
        <w:rPr>
          <w:color w:val="000000"/>
        </w:rPr>
      </w:pPr>
      <w:r>
        <w:rPr>
          <w:color w:val="000000"/>
        </w:rPr>
        <w:t xml:space="preserve">12. </w:t>
      </w:r>
      <w:r>
        <w:rPr>
          <w:rFonts w:ascii="宋体" w:hAnsi="宋体" w:eastAsia="宋体" w:cs="宋体"/>
          <w:color w:val="000000"/>
        </w:rPr>
        <w:t>浮标获取的数据显示，在</w:t>
      </w:r>
      <w:r>
        <w:rPr>
          <w:rFonts w:ascii="Times New Roman" w:hAnsi="Times New Roman" w:eastAsia="Times New Roman" w:cs="Times New Roman"/>
          <w:color w:val="000000"/>
        </w:rPr>
        <w:t>200</w:t>
      </w:r>
      <w:r>
        <w:rPr>
          <w:rFonts w:ascii="宋体" w:hAnsi="宋体" w:eastAsia="宋体" w:cs="宋体"/>
          <w:color w:val="000000"/>
        </w:rPr>
        <w:t>～</w:t>
      </w:r>
      <w:r>
        <w:rPr>
          <w:rFonts w:ascii="Times New Roman" w:hAnsi="Times New Roman" w:eastAsia="Times New Roman" w:cs="Times New Roman"/>
          <w:color w:val="000000"/>
        </w:rPr>
        <w:t>500m</w:t>
      </w:r>
      <w:r>
        <w:rPr>
          <w:rFonts w:ascii="宋体" w:hAnsi="宋体" w:eastAsia="宋体" w:cs="宋体"/>
          <w:color w:val="000000"/>
        </w:rPr>
        <w:t>深度，甲海区海水年均盐度高于乙海区，主要原因是甲海区（</w:t>
      </w:r>
      <w:r>
        <w:rPr>
          <w:rFonts w:ascii="Times New Roman" w:hAnsi="Times New Roman" w:eastAsia="Times New Roman" w:cs="Times New Roman"/>
          <w:color w:val="000000"/>
        </w:rPr>
        <w:t xml:space="preserve">    </w:t>
      </w:r>
      <w:r>
        <w:rPr>
          <w:rFonts w:ascii="宋体" w:hAnsi="宋体" w:eastAsia="宋体" w:cs="宋体"/>
          <w:color w:val="000000"/>
        </w:rPr>
        <w:t>）</w:t>
      </w:r>
    </w:p>
    <w:p w14:paraId="2560F1F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受高盐海水输入影响</w:t>
      </w:r>
      <w:r>
        <w:rPr>
          <w:color w:val="000000"/>
        </w:rPr>
        <w:tab/>
      </w:r>
      <w:r>
        <w:rPr>
          <w:color w:val="000000"/>
        </w:rPr>
        <w:t xml:space="preserve">B. </w:t>
      </w:r>
      <w:r>
        <w:rPr>
          <w:rFonts w:ascii="宋体" w:hAnsi="宋体" w:eastAsia="宋体" w:cs="宋体"/>
          <w:color w:val="000000"/>
        </w:rPr>
        <w:t>蒸发旺盛</w:t>
      </w:r>
      <w:r>
        <w:rPr>
          <w:color w:val="000000"/>
        </w:rPr>
        <w:tab/>
      </w:r>
      <w:r>
        <w:rPr>
          <w:color w:val="000000"/>
        </w:rPr>
        <w:t xml:space="preserve">C. </w:t>
      </w:r>
      <w:r>
        <w:rPr>
          <w:rFonts w:ascii="宋体" w:hAnsi="宋体" w:eastAsia="宋体" w:cs="宋体"/>
          <w:color w:val="000000"/>
        </w:rPr>
        <w:t>缺少陆地淡水注入</w:t>
      </w:r>
      <w:r>
        <w:rPr>
          <w:color w:val="000000"/>
        </w:rPr>
        <w:tab/>
      </w:r>
      <w:r>
        <w:rPr>
          <w:color w:val="000000"/>
        </w:rPr>
        <w:t xml:space="preserve">D. </w:t>
      </w:r>
      <w:r>
        <w:rPr>
          <w:rFonts w:ascii="宋体" w:hAnsi="宋体" w:eastAsia="宋体" w:cs="宋体"/>
          <w:color w:val="000000"/>
        </w:rPr>
        <w:t>降水稀少</w:t>
      </w:r>
    </w:p>
    <w:p w14:paraId="3FB4B2D4">
      <w:pPr>
        <w:spacing w:line="360" w:lineRule="auto"/>
        <w:jc w:val="left"/>
        <w:textAlignment w:val="center"/>
        <w:rPr>
          <w:color w:val="000000"/>
        </w:rPr>
      </w:pPr>
      <w:r>
        <w:rPr>
          <w:color w:val="000000"/>
        </w:rPr>
        <w:t xml:space="preserve">13.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w:t>
      </w:r>
      <w:r>
        <w:rPr>
          <w:rFonts w:ascii="Times New Roman" w:hAnsi="Times New Roman" w:eastAsia="Times New Roman" w:cs="Times New Roman"/>
          <w:color w:val="000000"/>
        </w:rPr>
        <w:t>7—8</w:t>
      </w:r>
      <w:r>
        <w:rPr>
          <w:rFonts w:ascii="宋体" w:hAnsi="宋体" w:eastAsia="宋体" w:cs="宋体"/>
          <w:color w:val="000000"/>
        </w:rPr>
        <w:t>月份表层与</w:t>
      </w:r>
      <w:r>
        <w:rPr>
          <w:rFonts w:ascii="Times New Roman" w:hAnsi="Times New Roman" w:eastAsia="Times New Roman" w:cs="Times New Roman"/>
          <w:color w:val="000000"/>
        </w:rPr>
        <w:t>50m</w:t>
      </w:r>
      <w:r>
        <w:rPr>
          <w:rFonts w:ascii="宋体" w:hAnsi="宋体" w:eastAsia="宋体" w:cs="宋体"/>
          <w:color w:val="000000"/>
        </w:rPr>
        <w:t>深度海水温度相近，主要是因为（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121020E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西南季风强劲，形成持续大量降雨</w:t>
      </w:r>
      <w:r>
        <w:rPr>
          <w:color w:val="000000"/>
        </w:rPr>
        <w:tab/>
      </w:r>
      <w:r>
        <w:rPr>
          <w:color w:val="000000"/>
        </w:rPr>
        <w:t xml:space="preserve">B. </w:t>
      </w:r>
      <w:r>
        <w:rPr>
          <w:rFonts w:ascii="宋体" w:hAnsi="宋体" w:eastAsia="宋体" w:cs="宋体"/>
          <w:color w:val="000000"/>
        </w:rPr>
        <w:t>西南季风强劲，带动下层海水上涌</w:t>
      </w:r>
    </w:p>
    <w:p w14:paraId="380D61C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热带气旋活跃，减少太阳直接辐射</w:t>
      </w:r>
      <w:r>
        <w:rPr>
          <w:color w:val="000000"/>
        </w:rPr>
        <w:tab/>
      </w:r>
      <w:r>
        <w:rPr>
          <w:color w:val="000000"/>
        </w:rPr>
        <w:t xml:space="preserve">D. </w:t>
      </w:r>
      <w:r>
        <w:rPr>
          <w:rFonts w:ascii="宋体" w:hAnsi="宋体" w:eastAsia="宋体" w:cs="宋体"/>
          <w:color w:val="000000"/>
        </w:rPr>
        <w:t>热带气旋活跃，消耗海洋表层热量</w:t>
      </w:r>
    </w:p>
    <w:p w14:paraId="7A5D4FCD">
      <w:pPr>
        <w:spacing w:line="360" w:lineRule="auto"/>
        <w:jc w:val="left"/>
        <w:textAlignment w:val="center"/>
        <w:rPr>
          <w:color w:val="000000"/>
        </w:rPr>
      </w:pPr>
      <w:r>
        <w:rPr>
          <w:color w:val="000000"/>
        </w:rPr>
        <w:t xml:space="preserve">14. </w:t>
      </w:r>
      <w:r>
        <w:rPr>
          <w:rFonts w:ascii="宋体" w:hAnsi="宋体" w:eastAsia="宋体" w:cs="宋体"/>
          <w:color w:val="000000"/>
        </w:rPr>
        <w:t>该全球海洋观测网获取的海量数据可应用于（</w:t>
      </w:r>
      <w:r>
        <w:rPr>
          <w:rFonts w:ascii="Times New Roman" w:hAnsi="Times New Roman" w:eastAsia="Times New Roman" w:cs="Times New Roman"/>
          <w:color w:val="000000"/>
        </w:rPr>
        <w:t xml:space="preserve">    </w:t>
      </w:r>
      <w:r>
        <w:rPr>
          <w:rFonts w:ascii="宋体" w:hAnsi="宋体" w:eastAsia="宋体" w:cs="宋体"/>
          <w:color w:val="000000"/>
        </w:rPr>
        <w:t>）</w:t>
      </w:r>
    </w:p>
    <w:p w14:paraId="4678B2BA">
      <w:pPr>
        <w:spacing w:line="360" w:lineRule="auto"/>
        <w:jc w:val="both"/>
        <w:textAlignment w:val="center"/>
        <w:rPr>
          <w:color w:val="000000"/>
        </w:rPr>
      </w:pPr>
      <w:r>
        <w:rPr>
          <w:rFonts w:ascii="宋体" w:hAnsi="宋体" w:eastAsia="宋体" w:cs="宋体"/>
          <w:color w:val="000000"/>
        </w:rPr>
        <w:t>①研究厄尔尼诺现象</w:t>
      </w:r>
      <w:r>
        <w:rPr>
          <w:color w:val="000000"/>
        </w:rPr>
        <w:t xml:space="preserve">    </w:t>
      </w:r>
      <w:r>
        <w:rPr>
          <w:rFonts w:ascii="宋体" w:hAnsi="宋体" w:eastAsia="宋体" w:cs="宋体"/>
          <w:color w:val="000000"/>
        </w:rPr>
        <w:t>②提高中长期天气预报能力</w:t>
      </w:r>
    </w:p>
    <w:p w14:paraId="177A1F5D">
      <w:pPr>
        <w:spacing w:line="360" w:lineRule="auto"/>
        <w:jc w:val="both"/>
        <w:textAlignment w:val="center"/>
        <w:rPr>
          <w:color w:val="000000"/>
        </w:rPr>
      </w:pPr>
      <w:r>
        <w:rPr>
          <w:rFonts w:ascii="宋体" w:hAnsi="宋体" w:eastAsia="宋体" w:cs="宋体"/>
          <w:color w:val="000000"/>
        </w:rPr>
        <w:t>③调控海水温度和盐度</w:t>
      </w:r>
      <w:r>
        <w:rPr>
          <w:color w:val="000000"/>
        </w:rPr>
        <w:t xml:space="preserve">    </w:t>
      </w:r>
      <w:r>
        <w:rPr>
          <w:rFonts w:ascii="宋体" w:hAnsi="宋体" w:eastAsia="宋体" w:cs="宋体"/>
          <w:color w:val="000000"/>
        </w:rPr>
        <w:t>④指导远洋捕鱼</w:t>
      </w:r>
    </w:p>
    <w:p w14:paraId="369675C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6702F18">
      <w:pPr>
        <w:spacing w:line="360" w:lineRule="auto"/>
        <w:ind w:firstLine="420"/>
        <w:jc w:val="both"/>
        <w:textAlignment w:val="center"/>
        <w:rPr>
          <w:color w:val="000000"/>
        </w:rPr>
      </w:pPr>
      <w:r>
        <w:rPr>
          <w:rFonts w:ascii="楷体" w:hAnsi="楷体" w:eastAsia="楷体" w:cs="楷体"/>
          <w:color w:val="000000"/>
        </w:rPr>
        <w:t>潮差是指潮水的一次涨落过程中最高水位与最低水位之差。如图为2024年4月上海堡镇、苏州浒浦、南通天生港三地的月平均潮差。据此完成下面小题。</w:t>
      </w:r>
    </w:p>
    <w:p w14:paraId="65F99395">
      <w:pPr>
        <w:spacing w:line="360" w:lineRule="auto"/>
        <w:jc w:val="both"/>
        <w:textAlignment w:val="center"/>
        <w:rPr>
          <w:color w:val="000000"/>
        </w:rPr>
      </w:pPr>
      <w:r>
        <w:rPr>
          <w:color w:val="000000"/>
        </w:rPr>
        <w:drawing>
          <wp:inline distT="0" distB="0" distL="114300" distR="114300">
            <wp:extent cx="2409825" cy="17907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409825" cy="1790700"/>
                    </a:xfrm>
                    <a:prstGeom prst="rect">
                      <a:avLst/>
                    </a:prstGeom>
                  </pic:spPr>
                </pic:pic>
              </a:graphicData>
            </a:graphic>
          </wp:inline>
        </w:drawing>
      </w:r>
    </w:p>
    <w:p w14:paraId="5B01543D">
      <w:pPr>
        <w:spacing w:line="360" w:lineRule="auto"/>
        <w:jc w:val="left"/>
        <w:textAlignment w:val="center"/>
        <w:rPr>
          <w:color w:val="000000"/>
        </w:rPr>
      </w:pPr>
      <w:r>
        <w:rPr>
          <w:color w:val="000000"/>
        </w:rPr>
        <w:t xml:space="preserve">15. </w:t>
      </w:r>
      <w:r>
        <w:rPr>
          <w:rFonts w:ascii="宋体" w:hAnsi="宋体" w:eastAsia="宋体" w:cs="宋体"/>
          <w:color w:val="000000"/>
        </w:rPr>
        <w:t>该月，堡镇月平均潮差明显大于天生港，主要原因是（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31AA18FA">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天生港处河道较窄，涌浪堆积较高</w:t>
      </w:r>
      <w:r>
        <w:rPr>
          <w:color w:val="000000"/>
        </w:rPr>
        <w:tab/>
      </w:r>
      <w:r>
        <w:rPr>
          <w:color w:val="000000"/>
        </w:rPr>
        <w:t xml:space="preserve">B. </w:t>
      </w:r>
      <w:r>
        <w:rPr>
          <w:rFonts w:ascii="宋体" w:hAnsi="宋体" w:eastAsia="宋体" w:cs="宋体"/>
          <w:color w:val="000000"/>
        </w:rPr>
        <w:t>堡镇受副热带高压控制，风力较弱</w:t>
      </w:r>
    </w:p>
    <w:p w14:paraId="33226951">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堡镇与天生港所受日月引潮力差异大</w:t>
      </w:r>
      <w:r>
        <w:rPr>
          <w:color w:val="000000"/>
        </w:rPr>
        <w:tab/>
      </w:r>
      <w:r>
        <w:rPr>
          <w:color w:val="000000"/>
        </w:rPr>
        <w:t xml:space="preserve">D. </w:t>
      </w:r>
      <w:r>
        <w:rPr>
          <w:rFonts w:ascii="宋体" w:hAnsi="宋体" w:eastAsia="宋体" w:cs="宋体"/>
          <w:color w:val="000000"/>
        </w:rPr>
        <w:t>堡镇至天生港段潮水沿江上溯过程中能量消耗较大</w:t>
      </w:r>
    </w:p>
    <w:p w14:paraId="2C695BAE">
      <w:pPr>
        <w:spacing w:line="360" w:lineRule="auto"/>
        <w:jc w:val="left"/>
        <w:textAlignment w:val="center"/>
        <w:rPr>
          <w:color w:val="000000"/>
        </w:rPr>
      </w:pPr>
      <w:r>
        <w:rPr>
          <w:color w:val="000000"/>
        </w:rPr>
        <w:t xml:space="preserve">16. </w:t>
      </w:r>
      <w:r>
        <w:rPr>
          <w:rFonts w:ascii="宋体" w:hAnsi="宋体" w:eastAsia="宋体" w:cs="宋体"/>
          <w:color w:val="000000"/>
        </w:rPr>
        <w:t>天生港</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11</w:t>
      </w:r>
      <w:r>
        <w:rPr>
          <w:rFonts w:ascii="宋体" w:hAnsi="宋体" w:eastAsia="宋体" w:cs="宋体"/>
          <w:color w:val="000000"/>
        </w:rPr>
        <w:t>日（农历三月初三）潮差为该月最大。该日的日、地、月三者相对位置关系可示意为（</w:t>
      </w:r>
      <w:r>
        <w:rPr>
          <w:rFonts w:ascii="Times New Roman" w:hAnsi="Times New Roman" w:eastAsia="Times New Roman" w:cs="Times New Roman"/>
          <w:color w:val="000000"/>
        </w:rPr>
        <w:t xml:space="preserve">    </w:t>
      </w:r>
      <w:r>
        <w:rPr>
          <w:rFonts w:ascii="宋体" w:hAnsi="宋体" w:eastAsia="宋体" w:cs="宋体"/>
          <w:color w:val="000000"/>
        </w:rPr>
        <w:t>）</w:t>
      </w:r>
    </w:p>
    <w:p w14:paraId="2CAC8CB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04950" cy="14382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504950" cy="14382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476375" cy="14097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76375" cy="1409700"/>
                    </a:xfrm>
                    <a:prstGeom prst="rect">
                      <a:avLst/>
                    </a:prstGeom>
                  </pic:spPr>
                </pic:pic>
              </a:graphicData>
            </a:graphic>
          </wp:inline>
        </w:drawing>
      </w:r>
    </w:p>
    <w:p w14:paraId="12B1051A">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04950" cy="1485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04950" cy="14859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76375" cy="14763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76375" cy="1476375"/>
                    </a:xfrm>
                    <a:prstGeom prst="rect">
                      <a:avLst/>
                    </a:prstGeom>
                  </pic:spPr>
                </pic:pic>
              </a:graphicData>
            </a:graphic>
          </wp:inline>
        </w:drawing>
      </w:r>
    </w:p>
    <w:p w14:paraId="6A4BB013">
      <w:pPr>
        <w:spacing w:line="285" w:lineRule="auto"/>
        <w:jc w:val="both"/>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3A06835B">
      <w:pPr>
        <w:spacing w:line="360" w:lineRule="auto"/>
        <w:jc w:val="both"/>
        <w:textAlignment w:val="center"/>
        <w:rPr>
          <w:color w:val="000000"/>
        </w:rPr>
      </w:pPr>
      <w:r>
        <w:rPr>
          <w:color w:val="000000"/>
        </w:rPr>
        <w:t xml:space="preserve">17. </w:t>
      </w:r>
      <w:r>
        <w:rPr>
          <w:rFonts w:ascii="宋体" w:hAnsi="宋体" w:eastAsia="宋体" w:cs="宋体"/>
          <w:color w:val="000000"/>
        </w:rPr>
        <w:t>阅读图文材料，完成下列要求</w:t>
      </w:r>
      <w:r>
        <w:rPr>
          <w:rFonts w:ascii="宋体" w:hAnsi="宋体" w:eastAsia="宋体" w:cs="宋体"/>
          <w:color w:val="000000"/>
          <w:position w:val="-12"/>
        </w:rPr>
        <w:drawing>
          <wp:inline distT="0" distB="0" distL="114300" distR="114300">
            <wp:extent cx="127000" cy="762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2"/>
                    <a:stretch>
                      <a:fillRect/>
                    </a:stretch>
                  </pic:blipFill>
                  <pic:spPr>
                    <a:xfrm>
                      <a:off x="0" y="0"/>
                      <a:ext cx="127000" cy="76200"/>
                    </a:xfrm>
                    <a:prstGeom prst="rect">
                      <a:avLst/>
                    </a:prstGeom>
                  </pic:spPr>
                </pic:pic>
              </a:graphicData>
            </a:graphic>
          </wp:inline>
        </w:drawing>
      </w:r>
    </w:p>
    <w:p w14:paraId="5143DE25">
      <w:pPr>
        <w:spacing w:line="360" w:lineRule="auto"/>
        <w:ind w:firstLine="420"/>
        <w:jc w:val="both"/>
        <w:textAlignment w:val="center"/>
        <w:rPr>
          <w:color w:val="000000"/>
        </w:rPr>
      </w:pPr>
      <w:r>
        <w:rPr>
          <w:rFonts w:ascii="楷体" w:hAnsi="楷体" w:eastAsia="楷体" w:cs="楷体"/>
          <w:color w:val="000000"/>
        </w:rPr>
        <w:t>镍用途广泛，有“钢铁工业维生素”之称。21世纪以来，我国镍产业链日渐完善，是全球主要的生产和消费国。2020年，我国镍资源产品出口国家（地区）达176个。图1为2001—2020年我国镍资源贸易产品结构变化情况，图2为镍产业链示意。</w:t>
      </w:r>
    </w:p>
    <w:p w14:paraId="5E4AAB69">
      <w:pPr>
        <w:spacing w:line="360" w:lineRule="auto"/>
        <w:jc w:val="both"/>
        <w:textAlignment w:val="center"/>
        <w:rPr>
          <w:color w:val="000000"/>
        </w:rPr>
      </w:pPr>
      <w:r>
        <w:rPr>
          <w:color w:val="000000"/>
        </w:rPr>
        <w:drawing>
          <wp:inline distT="0" distB="0" distL="114300" distR="114300">
            <wp:extent cx="2286000" cy="37242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286000" cy="372427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3409950" cy="16478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409950" cy="1647825"/>
                    </a:xfrm>
                    <a:prstGeom prst="rect">
                      <a:avLst/>
                    </a:prstGeom>
                  </pic:spPr>
                </pic:pic>
              </a:graphicData>
            </a:graphic>
          </wp:inline>
        </w:drawing>
      </w:r>
    </w:p>
    <w:p w14:paraId="6339E248">
      <w:pPr>
        <w:spacing w:line="360" w:lineRule="auto"/>
        <w:jc w:val="both"/>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 xml:space="preserve">1                             </w:t>
      </w:r>
      <w:r>
        <w:rPr>
          <w:rFonts w:ascii="宋体" w:hAnsi="宋体" w:eastAsia="宋体" w:cs="宋体"/>
          <w:color w:val="000000"/>
        </w:rPr>
        <w:t>图</w:t>
      </w:r>
      <w:r>
        <w:rPr>
          <w:rFonts w:ascii="Times New Roman" w:hAnsi="Times New Roman" w:eastAsia="Times New Roman" w:cs="Times New Roman"/>
          <w:color w:val="000000"/>
        </w:rPr>
        <w:t>2</w:t>
      </w:r>
    </w:p>
    <w:p w14:paraId="22511FE1">
      <w:pPr>
        <w:spacing w:line="360" w:lineRule="auto"/>
        <w:jc w:val="left"/>
        <w:textAlignment w:val="center"/>
        <w:rPr>
          <w:color w:val="000000"/>
        </w:rPr>
      </w:pPr>
      <w:r>
        <w:rPr>
          <w:color w:val="000000"/>
        </w:rPr>
        <w:t>（1）</w:t>
      </w:r>
      <w:r>
        <w:rPr>
          <w:rFonts w:ascii="宋体" w:hAnsi="宋体" w:eastAsia="宋体" w:cs="宋体"/>
          <w:color w:val="000000"/>
        </w:rPr>
        <w:t>概括</w:t>
      </w:r>
      <w:r>
        <w:rPr>
          <w:rFonts w:ascii="Times New Roman" w:hAnsi="Times New Roman" w:eastAsia="Times New Roman" w:cs="Times New Roman"/>
          <w:color w:val="000000"/>
        </w:rPr>
        <w:t>2001—2020</w:t>
      </w:r>
      <w:r>
        <w:rPr>
          <w:rFonts w:ascii="宋体" w:hAnsi="宋体" w:eastAsia="宋体" w:cs="宋体"/>
          <w:color w:val="000000"/>
        </w:rPr>
        <w:t>年我国镍资源贸易产品结构变化的特点。</w:t>
      </w:r>
    </w:p>
    <w:p w14:paraId="65BD9754">
      <w:pPr>
        <w:spacing w:line="360" w:lineRule="auto"/>
        <w:jc w:val="left"/>
        <w:textAlignment w:val="center"/>
        <w:rPr>
          <w:color w:val="000000"/>
        </w:rPr>
      </w:pPr>
      <w:r>
        <w:rPr>
          <w:color w:val="000000"/>
        </w:rPr>
        <w:t>（2）</w:t>
      </w:r>
      <w:r>
        <w:rPr>
          <w:rFonts w:ascii="宋体" w:hAnsi="宋体" w:eastAsia="宋体" w:cs="宋体"/>
          <w:color w:val="000000"/>
        </w:rPr>
        <w:t>结合材料，分析我国镍产业发展的市场潜力。</w:t>
      </w:r>
    </w:p>
    <w:p w14:paraId="0F892103">
      <w:pPr>
        <w:spacing w:line="360" w:lineRule="auto"/>
        <w:jc w:val="left"/>
        <w:textAlignment w:val="center"/>
        <w:rPr>
          <w:color w:val="000000"/>
        </w:rPr>
      </w:pPr>
      <w:r>
        <w:rPr>
          <w:color w:val="000000"/>
        </w:rPr>
        <w:t>（3）</w:t>
      </w:r>
      <w:r>
        <w:rPr>
          <w:rFonts w:ascii="宋体" w:hAnsi="宋体" w:eastAsia="宋体" w:cs="宋体"/>
          <w:color w:val="000000"/>
        </w:rPr>
        <w:t>从绿色生产角度，为我国镍资源的合理利用提出建议。</w:t>
      </w:r>
    </w:p>
    <w:p w14:paraId="70C0A9FC">
      <w:pPr>
        <w:spacing w:line="360" w:lineRule="auto"/>
        <w:jc w:val="both"/>
        <w:textAlignment w:val="center"/>
        <w:rPr>
          <w:color w:val="000000"/>
        </w:rPr>
      </w:pPr>
      <w:r>
        <w:rPr>
          <w:color w:val="000000"/>
        </w:rPr>
        <w:t xml:space="preserve">18. </w:t>
      </w:r>
      <w:r>
        <w:rPr>
          <w:rFonts w:ascii="宋体" w:hAnsi="宋体" w:eastAsia="宋体" w:cs="宋体"/>
          <w:color w:val="000000"/>
        </w:rPr>
        <w:t>阅读图文材料，完成下列要求。</w:t>
      </w:r>
    </w:p>
    <w:p w14:paraId="5BFF63EA">
      <w:pPr>
        <w:spacing w:line="360" w:lineRule="auto"/>
        <w:ind w:firstLine="420"/>
        <w:jc w:val="both"/>
        <w:textAlignment w:val="center"/>
        <w:rPr>
          <w:color w:val="000000"/>
        </w:rPr>
      </w:pPr>
      <w:r>
        <w:rPr>
          <w:rFonts w:ascii="楷体" w:hAnsi="楷体" w:eastAsia="楷体" w:cs="楷体"/>
          <w:color w:val="000000"/>
        </w:rPr>
        <w:t>佛手为热带、亚热带植物，具有药用、食用和观赏价值。喜暖湿，适合在土层深厚、疏松肥沃、排水良好的土壤中生长。绿化村位于四川省乐山市沙湾区，喀斯特地貌广布。近年来，绿化村采取了“土地流转+优先雇用+分红”的模式进行佛手种植，石缝里长出了“金果果”，“石缝经济”得到大力发展（如图），昔日“石山”变“青山”进而变“金山”，走出了一条山区发展富民产业的乡村振兴之路。</w:t>
      </w:r>
    </w:p>
    <w:p w14:paraId="76B5A96A">
      <w:pPr>
        <w:spacing w:line="360" w:lineRule="auto"/>
        <w:jc w:val="both"/>
        <w:textAlignment w:val="center"/>
        <w:rPr>
          <w:color w:val="000000"/>
        </w:rPr>
      </w:pPr>
      <w:r>
        <w:rPr>
          <w:color w:val="000000"/>
        </w:rPr>
        <w:drawing>
          <wp:inline distT="0" distB="0" distL="114300" distR="114300">
            <wp:extent cx="5038725" cy="31718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038725" cy="3171825"/>
                    </a:xfrm>
                    <a:prstGeom prst="rect">
                      <a:avLst/>
                    </a:prstGeom>
                  </pic:spPr>
                </pic:pic>
              </a:graphicData>
            </a:graphic>
          </wp:inline>
        </w:drawing>
      </w:r>
    </w:p>
    <w:p w14:paraId="3C5EC4B4">
      <w:pPr>
        <w:spacing w:line="360" w:lineRule="auto"/>
        <w:jc w:val="left"/>
        <w:textAlignment w:val="center"/>
        <w:rPr>
          <w:color w:val="000000"/>
        </w:rPr>
      </w:pPr>
      <w:r>
        <w:rPr>
          <w:color w:val="000000"/>
        </w:rPr>
        <w:t>（1）</w:t>
      </w:r>
      <w:r>
        <w:rPr>
          <w:rFonts w:ascii="宋体" w:hAnsi="宋体" w:eastAsia="宋体" w:cs="宋体"/>
          <w:color w:val="000000"/>
        </w:rPr>
        <w:t>分析该地佛手种植的限制性自然条件，并提出相应的治理工程措施。</w:t>
      </w:r>
    </w:p>
    <w:p w14:paraId="0FE452DC">
      <w:pPr>
        <w:spacing w:line="360" w:lineRule="auto"/>
        <w:jc w:val="left"/>
        <w:textAlignment w:val="center"/>
        <w:rPr>
          <w:color w:val="000000"/>
        </w:rPr>
      </w:pPr>
      <w:r>
        <w:rPr>
          <w:color w:val="000000"/>
        </w:rPr>
        <w:t>（2）</w:t>
      </w:r>
      <w:r>
        <w:rPr>
          <w:rFonts w:ascii="宋体" w:hAnsi="宋体" w:eastAsia="宋体" w:cs="宋体"/>
          <w:color w:val="000000"/>
        </w:rPr>
        <w:t>分析“土地流转</w:t>
      </w:r>
      <w:r>
        <w:rPr>
          <w:rFonts w:ascii="Times New Roman" w:hAnsi="Times New Roman" w:eastAsia="Times New Roman" w:cs="Times New Roman"/>
          <w:color w:val="000000"/>
        </w:rPr>
        <w:t>+</w:t>
      </w:r>
      <w:r>
        <w:rPr>
          <w:rFonts w:ascii="宋体" w:hAnsi="宋体" w:eastAsia="宋体" w:cs="宋体"/>
          <w:color w:val="000000"/>
        </w:rPr>
        <w:t>优先雇用</w:t>
      </w:r>
      <w:r>
        <w:rPr>
          <w:rFonts w:ascii="Times New Roman" w:hAnsi="Times New Roman" w:eastAsia="Times New Roman" w:cs="Times New Roman"/>
          <w:color w:val="000000"/>
        </w:rPr>
        <w:t>+</w:t>
      </w:r>
      <w:r>
        <w:rPr>
          <w:rFonts w:ascii="宋体" w:hAnsi="宋体" w:eastAsia="宋体" w:cs="宋体"/>
          <w:color w:val="000000"/>
        </w:rPr>
        <w:t>分红”模式对该地佛手种植业发展的重要作用。</w:t>
      </w:r>
    </w:p>
    <w:p w14:paraId="682DA210">
      <w:pPr>
        <w:spacing w:line="360" w:lineRule="auto"/>
        <w:jc w:val="left"/>
        <w:textAlignment w:val="center"/>
        <w:rPr>
          <w:color w:val="000000"/>
        </w:rPr>
      </w:pPr>
      <w:r>
        <w:rPr>
          <w:color w:val="000000"/>
        </w:rPr>
        <w:t>（3）</w:t>
      </w:r>
      <w:r>
        <w:rPr>
          <w:rFonts w:ascii="宋体" w:hAnsi="宋体" w:eastAsia="宋体" w:cs="宋体"/>
          <w:color w:val="000000"/>
        </w:rPr>
        <w:t>为进一步促进“石山”变“青山”进而变“金山”，从产业关联</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视角为该地佛手产业发展提出建议。</w:t>
      </w:r>
    </w:p>
    <w:p w14:paraId="40DA1C3C">
      <w:pPr>
        <w:spacing w:line="360" w:lineRule="auto"/>
        <w:jc w:val="both"/>
        <w:textAlignment w:val="center"/>
        <w:rPr>
          <w:color w:val="000000"/>
        </w:rPr>
      </w:pPr>
      <w:r>
        <w:rPr>
          <w:color w:val="000000"/>
        </w:rPr>
        <w:t xml:space="preserve">19. </w:t>
      </w:r>
      <w:r>
        <w:rPr>
          <w:rFonts w:ascii="宋体" w:hAnsi="宋体" w:eastAsia="宋体" w:cs="宋体"/>
          <w:color w:val="000000"/>
        </w:rPr>
        <w:t>阅读图文材料，完成下列要求。</w:t>
      </w:r>
    </w:p>
    <w:p w14:paraId="3B90EC05">
      <w:pPr>
        <w:spacing w:line="360" w:lineRule="auto"/>
        <w:ind w:firstLine="420"/>
        <w:jc w:val="both"/>
        <w:textAlignment w:val="center"/>
        <w:rPr>
          <w:color w:val="000000"/>
        </w:rPr>
      </w:pPr>
      <w:r>
        <w:rPr>
          <w:rFonts w:ascii="楷体" w:hAnsi="楷体" w:eastAsia="楷体" w:cs="楷体"/>
          <w:color w:val="000000"/>
        </w:rPr>
        <w:t>南美洲的卡西基亚雷河（以下简称“卡河”）是奥里诺科河（以下简称“奥河”）上游的一条汊河，经内格罗河流入亚马孙河（如图）。奥河在分汊口附近堆积有大量沉积物。自分汊口向下游方向，相比较而言，奥河河道宽而浅，卡河河道窄而深，卡河河床纵剖面坡度明显大于奥河。目前该分汊口上游约四分之一的来水流入到卡河，专家预测卡河未来将成为主要河道。</w:t>
      </w:r>
    </w:p>
    <w:p w14:paraId="3ABFEBE5">
      <w:pPr>
        <w:spacing w:line="360" w:lineRule="auto"/>
        <w:jc w:val="both"/>
        <w:textAlignment w:val="center"/>
        <w:rPr>
          <w:color w:val="000000"/>
        </w:rPr>
      </w:pPr>
      <w:r>
        <w:rPr>
          <w:color w:val="000000"/>
        </w:rPr>
        <w:drawing>
          <wp:inline distT="0" distB="0" distL="114300" distR="114300">
            <wp:extent cx="3448050" cy="17526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448050" cy="1752600"/>
                    </a:xfrm>
                    <a:prstGeom prst="rect">
                      <a:avLst/>
                    </a:prstGeom>
                  </pic:spPr>
                </pic:pic>
              </a:graphicData>
            </a:graphic>
          </wp:inline>
        </w:drawing>
      </w:r>
    </w:p>
    <w:p w14:paraId="38E84DFB">
      <w:pPr>
        <w:spacing w:line="360" w:lineRule="auto"/>
        <w:jc w:val="left"/>
        <w:textAlignment w:val="center"/>
        <w:rPr>
          <w:color w:val="000000"/>
        </w:rPr>
      </w:pPr>
      <w:r>
        <w:rPr>
          <w:color w:val="000000"/>
        </w:rPr>
        <w:t>（1）</w:t>
      </w:r>
      <w:r>
        <w:rPr>
          <w:rFonts w:ascii="宋体" w:hAnsi="宋体" w:eastAsia="宋体" w:cs="宋体"/>
          <w:color w:val="000000"/>
        </w:rPr>
        <w:t>说明分汊口处堆积体的形成过程。</w:t>
      </w:r>
    </w:p>
    <w:p w14:paraId="1DF559AA">
      <w:pPr>
        <w:spacing w:line="360" w:lineRule="auto"/>
        <w:jc w:val="left"/>
        <w:textAlignment w:val="center"/>
        <w:rPr>
          <w:color w:val="000000"/>
        </w:rPr>
      </w:pPr>
      <w:r>
        <w:rPr>
          <w:color w:val="000000"/>
        </w:rPr>
        <w:t>（2）</w:t>
      </w:r>
      <w:r>
        <w:rPr>
          <w:rFonts w:ascii="宋体" w:hAnsi="宋体" w:eastAsia="宋体" w:cs="宋体"/>
          <w:color w:val="000000"/>
        </w:rPr>
        <w:t>分析卡河未来可能成为主要河道的原因。</w:t>
      </w:r>
    </w:p>
    <w:p w14:paraId="099EB6B1">
      <w:pPr>
        <w:spacing w:line="360" w:lineRule="auto"/>
        <w:jc w:val="left"/>
        <w:textAlignment w:val="center"/>
        <w:rPr>
          <w:color w:val="000000"/>
        </w:rPr>
      </w:pPr>
      <w:r>
        <w:rPr>
          <w:color w:val="000000"/>
        </w:rPr>
        <w:t>（3）如果</w:t>
      </w:r>
      <w:r>
        <w:rPr>
          <w:rFonts w:ascii="宋体" w:hAnsi="宋体" w:eastAsia="宋体" w:cs="宋体"/>
          <w:color w:val="000000"/>
        </w:rPr>
        <w:t>分汊口</w:t>
      </w:r>
      <w:r>
        <w:rPr>
          <w:color w:val="000000"/>
        </w:rPr>
        <w:t>上游来水完全流入卡河，分析其对内格罗河流域自然环境的影响。</w:t>
      </w:r>
    </w:p>
    <w:p w14:paraId="4DC7EA9C">
      <w:pPr>
        <w:spacing w:line="360" w:lineRule="auto"/>
        <w:jc w:val="left"/>
        <w:textAlignment w:val="center"/>
        <w:rPr>
          <w:color w:val="000000"/>
        </w:rPr>
      </w:pPr>
      <w:r>
        <w:rPr>
          <w:color w:val="000000"/>
        </w:rPr>
        <w:br w:type="textWrapping"/>
      </w:r>
    </w:p>
    <w:p w14:paraId="32675E07">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03F26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60EE6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A1AB7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68067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838BE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FC332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C2558F"/>
    <w:rsid w:val="1AB00A3C"/>
    <w:rsid w:val="38274566"/>
    <w:rsid w:val="723661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7</Pages>
  <Words>2581</Words>
  <Characters>2744</Characters>
  <Lines>0</Lines>
  <Paragraphs>0</Paragraphs>
  <TotalTime>0</TotalTime>
  <ScaleCrop>false</ScaleCrop>
  <LinksUpToDate>false</LinksUpToDate>
  <CharactersWithSpaces>3044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2026-02-10T06:37:00Z</dcterms:created>
  <dc:creator>Administrator</dc:creator>
  <cp:lastModifiedBy>上帝掷骰子吗</cp:lastModifiedBy>
  <dcterms:modified xsi:type="dcterms:W3CDTF">2026-02-10T06:55:37Z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32175D6769FD4905ADCB2FA8CD154520_12</vt:lpwstr>
  </property>
</Properties>
</file>