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75AA516">
      <w:pPr>
        <w:spacing w:line="285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11684000</wp:posOffset>
            </wp:positionH>
            <wp:positionV relativeFrom="topMargin">
              <wp:posOffset>11303000</wp:posOffset>
            </wp:positionV>
            <wp:extent cx="266700" cy="292100"/>
            <wp:effectExtent l="0" t="0" r="0" b="12700"/>
            <wp:wrapNone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甘肃省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年普通高中学业水平等级性考试</w:t>
      </w:r>
    </w:p>
    <w:p w14:paraId="020F0AD2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</w:t>
      </w:r>
    </w:p>
    <w:p w14:paraId="187CC703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4DD877FC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．答卷前，考生务必将自己的姓名、准考证号填写在答题卡上。</w:t>
      </w:r>
    </w:p>
    <w:p w14:paraId="04819BD7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．回答选择题时，选出每小题答案后，用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铅笔把答题卡上对应题目的答案标号框涂黑。如需改动，用橡皮擦干净后，再选涂其它答案标号框。回答非选择题时，将答案写在答题卡上。写在本试卷上无效。</w:t>
      </w:r>
    </w:p>
    <w:p w14:paraId="75B1394F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．考试结束后，将本试卷和答题卡一并交回。</w:t>
      </w:r>
    </w:p>
    <w:p w14:paraId="723FF7BB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一、选择题：本题共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16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48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分。在每小题给出的四个选项中，只有一项是符合题目要求的。</w:t>
      </w:r>
    </w:p>
    <w:p w14:paraId="241F27BD">
      <w:pPr>
        <w:spacing w:line="360" w:lineRule="auto"/>
        <w:ind w:firstLine="420"/>
        <w:jc w:val="both"/>
      </w:pPr>
      <w:r>
        <w:rPr>
          <w:rFonts w:ascii="楷体" w:hAnsi="楷体" w:eastAsia="楷体" w:cs="楷体"/>
          <w:color w:val="auto"/>
        </w:rPr>
        <w:t>2024年，陕北—安徽±800千伏特高压直流输电工程（陕电入皖工程）和安徽岳西抽水蓄能电站开工建设。陕电入皖工程是国家构建新型电力系统、建设新型能源体系的重点工程之一，要求电力资源输送中可再生能源电量占比不低于50%。岳西抽水蓄能电站为日调节纯抽水蓄能电站。下图示意陕皖相关工程概况。据此完成下面小题。</w:t>
      </w:r>
    </w:p>
    <w:p w14:paraId="593541F1">
      <w:pPr>
        <w:spacing w:line="360" w:lineRule="auto"/>
        <w:jc w:val="both"/>
      </w:pPr>
      <w:r>
        <w:drawing>
          <wp:inline distT="0" distB="0" distL="114300" distR="114300">
            <wp:extent cx="4371975" cy="9048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353B8">
      <w:pPr>
        <w:spacing w:line="360" w:lineRule="auto"/>
        <w:jc w:val="left"/>
        <w:textAlignment w:val="center"/>
        <w:rPr>
          <w:color w:val="auto"/>
        </w:rPr>
      </w:pPr>
      <w:r>
        <w:t xml:space="preserve">1. </w:t>
      </w:r>
      <w:r>
        <w:rPr>
          <w:rFonts w:ascii="宋体" w:hAnsi="宋体" w:eastAsia="宋体" w:cs="宋体"/>
          <w:color w:val="auto"/>
        </w:rPr>
        <w:t>陕北地区在陕电入皖工程中的主要优势有（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5608337F">
      <w:pPr>
        <w:spacing w:line="360" w:lineRule="auto"/>
        <w:jc w:val="both"/>
      </w:pPr>
      <w:r>
        <w:rPr>
          <w:rFonts w:ascii="宋体" w:hAnsi="宋体" w:eastAsia="宋体" w:cs="宋体"/>
          <w:color w:val="auto"/>
        </w:rPr>
        <w:t>①电能储存技术发达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②风能光能资源充足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③煤炭资源储量丰富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④水能资源分布集中</w:t>
      </w:r>
    </w:p>
    <w:p w14:paraId="62A9017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①②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①③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②③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②④</w:t>
      </w:r>
    </w:p>
    <w:p w14:paraId="64465BE8">
      <w:pPr>
        <w:spacing w:line="360" w:lineRule="auto"/>
        <w:jc w:val="left"/>
        <w:textAlignment w:val="center"/>
        <w:rPr>
          <w:color w:val="auto"/>
        </w:rPr>
      </w:pPr>
      <w:r>
        <w:t xml:space="preserve">2. </w:t>
      </w:r>
      <w:r>
        <w:rPr>
          <w:rFonts w:ascii="宋体" w:hAnsi="宋体" w:eastAsia="宋体" w:cs="宋体"/>
          <w:color w:val="auto"/>
        </w:rPr>
        <w:t>陕皖相关工程中火电和抽水蓄能的相同作用是（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1E054D00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优化能源消费结构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调节电力供应</w:t>
      </w:r>
    </w:p>
    <w:p w14:paraId="1BD550E8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>C</w:t>
      </w:r>
      <w:r>
        <w:rPr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ascii="宋体" w:hAnsi="宋体" w:eastAsia="宋体" w:cs="宋体"/>
          <w:color w:val="auto"/>
        </w:rPr>
        <w:t>提高能源转换效率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减少换流次数</w:t>
      </w:r>
    </w:p>
    <w:p w14:paraId="5B92EC63">
      <w:pPr>
        <w:spacing w:line="360" w:lineRule="auto"/>
        <w:jc w:val="left"/>
        <w:textAlignment w:val="center"/>
        <w:rPr>
          <w:color w:val="auto"/>
        </w:rPr>
      </w:pPr>
      <w:r>
        <w:t xml:space="preserve">3. </w:t>
      </w:r>
      <w:r>
        <w:rPr>
          <w:rFonts w:ascii="宋体" w:hAnsi="宋体" w:eastAsia="宋体" w:cs="宋体"/>
          <w:color w:val="auto"/>
        </w:rPr>
        <w:t>陕电入皖工程和岳西抽水蓄能电站可（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7DDD812A">
      <w:pPr>
        <w:spacing w:line="360" w:lineRule="auto"/>
        <w:jc w:val="both"/>
      </w:pPr>
      <w:r>
        <w:rPr>
          <w:rFonts w:ascii="宋体" w:hAnsi="宋体" w:eastAsia="宋体" w:cs="宋体"/>
          <w:color w:val="auto"/>
        </w:rPr>
        <w:t>①减少陕北温室气体排放</w:t>
      </w:r>
      <w:r>
        <w:rPr>
          <w:rFonts w:ascii="Times New Roman" w:hAnsi="Times New Roman" w:eastAsia="Times New Roman" w:cs="Times New Roman"/>
          <w:color w:val="auto"/>
        </w:rPr>
        <w:t xml:space="preserve">                     </w:t>
      </w:r>
      <w:r>
        <w:rPr>
          <w:rFonts w:ascii="宋体" w:hAnsi="宋体" w:eastAsia="宋体" w:cs="宋体"/>
          <w:color w:val="auto"/>
        </w:rPr>
        <w:t>②助力陕北经济社会发展</w:t>
      </w:r>
    </w:p>
    <w:p w14:paraId="29C3C809">
      <w:pPr>
        <w:spacing w:line="360" w:lineRule="auto"/>
        <w:jc w:val="both"/>
      </w:pPr>
      <w:r>
        <w:rPr>
          <w:rFonts w:ascii="宋体" w:hAnsi="宋体" w:eastAsia="宋体" w:cs="宋体"/>
          <w:color w:val="auto"/>
        </w:rPr>
        <w:t>③降低安徽能源消耗总量</w:t>
      </w:r>
      <w:r>
        <w:rPr>
          <w:rFonts w:ascii="Times New Roman" w:hAnsi="Times New Roman" w:eastAsia="Times New Roman" w:cs="Times New Roman"/>
          <w:color w:val="auto"/>
        </w:rPr>
        <w:t xml:space="preserve">                     </w:t>
      </w:r>
      <w:r>
        <w:rPr>
          <w:rFonts w:ascii="宋体" w:hAnsi="宋体" w:eastAsia="宋体" w:cs="宋体"/>
          <w:color w:val="auto"/>
        </w:rPr>
        <w:t>④提高安徽电力保障能力</w:t>
      </w:r>
    </w:p>
    <w:p w14:paraId="73B1664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①③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②③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①④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②④</w:t>
      </w:r>
    </w:p>
    <w:p w14:paraId="70D2309A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柬埔寨是“一带一路”东南亚节点上的重要国家之一，旅游资源丰富，产业以初级产品生产加工为主。近年来，该国经济快速发展的同时谋求产业转型升级。教育合作是中柬合作的重要领域，我国已在柬埔寨设立了多个职业教育办学机构。2023年12月20日，我国职业教育第一所海外应用技术大学—柬华应用科技大学在柬埔寨金边成立，这是中柬教育合作的又一重要成果。据此完成下面小题。</w:t>
      </w:r>
    </w:p>
    <w:p w14:paraId="47CECE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柬华应用科技大学主要培养（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12E937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科学研究人才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金融业服务人才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政府管理人才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高层次技能人才</w:t>
      </w:r>
    </w:p>
    <w:p w14:paraId="757E1B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柬华应用科技大学成立时最可能设置的专业有（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1AC553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①旅游管理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②汽车服务工程技术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③机械制造工程技术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④网络工程技术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⑤人工智能</w:t>
      </w:r>
    </w:p>
    <w:p w14:paraId="54C2E88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③④⑤</w:t>
      </w:r>
    </w:p>
    <w:p w14:paraId="2EE686CF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大岭村位于广州市番禺区石楼镇，距广州市区约15千米。村内有保存较为完好的岭南风格建筑群。2000年以来，大岭村先后被评为“中国历史文化名村”“全国乡村旅游重点村”，产业逐渐多元化。2020年村内户籍人口2653人，常住人口4000余人，各项产业总收入约9000万元。下表示意大岭村的发展阶段及特征。据此完成下面小题。</w:t>
      </w:r>
    </w:p>
    <w:tbl>
      <w:tblPr>
        <w:tblStyle w:val="4"/>
        <w:tblW w:w="766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30"/>
        <w:gridCol w:w="1920"/>
        <w:gridCol w:w="2025"/>
        <w:gridCol w:w="2490"/>
      </w:tblGrid>
      <w:tr w14:paraId="5C70D5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401FA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发展阶段</w:t>
            </w:r>
          </w:p>
        </w:tc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13AB8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第一阶段</w:t>
            </w:r>
          </w:p>
          <w:p w14:paraId="2909EB8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（2000年以前）</w:t>
            </w:r>
          </w:p>
        </w:tc>
        <w:tc>
          <w:tcPr>
            <w:tcW w:w="20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FBBAC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第二阶段</w:t>
            </w:r>
          </w:p>
          <w:p w14:paraId="50792FA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（2000-2018年）</w:t>
            </w:r>
          </w:p>
        </w:tc>
        <w:tc>
          <w:tcPr>
            <w:tcW w:w="24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FAE72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第三阶段</w:t>
            </w:r>
          </w:p>
          <w:p w14:paraId="552BD3A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（2019年以来）</w:t>
            </w:r>
          </w:p>
        </w:tc>
      </w:tr>
      <w:tr w14:paraId="146411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DBC39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主要产业</w:t>
            </w:r>
          </w:p>
        </w:tc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89962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农业</w:t>
            </w:r>
          </w:p>
        </w:tc>
        <w:tc>
          <w:tcPr>
            <w:tcW w:w="20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1C36D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旅游业、农业</w:t>
            </w:r>
          </w:p>
        </w:tc>
        <w:tc>
          <w:tcPr>
            <w:tcW w:w="24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30507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旅游业、文化创意产业</w:t>
            </w:r>
          </w:p>
        </w:tc>
      </w:tr>
      <w:tr w14:paraId="07E5E5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C1A76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发展动力</w:t>
            </w:r>
          </w:p>
        </w:tc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79C2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村民个体主导</w:t>
            </w:r>
          </w:p>
        </w:tc>
        <w:tc>
          <w:tcPr>
            <w:tcW w:w="20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791B8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政府重点支持</w:t>
            </w:r>
          </w:p>
        </w:tc>
        <w:tc>
          <w:tcPr>
            <w:tcW w:w="24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BF456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外部投资、商企进驻</w:t>
            </w:r>
          </w:p>
        </w:tc>
      </w:tr>
    </w:tbl>
    <w:p w14:paraId="0C51B1E1">
      <w:pPr>
        <w:spacing w:line="360" w:lineRule="auto"/>
        <w:jc w:val="both"/>
        <w:textAlignment w:val="center"/>
        <w:rPr>
          <w:color w:val="000000"/>
        </w:rPr>
      </w:pPr>
    </w:p>
    <w:p w14:paraId="4018D5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大岭村从第一阶段到第三阶段（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6D9C5A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①外来人口比重增加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②乡村景观趋于破碎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③农业生产功能增强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④就业形式逐渐多样</w:t>
      </w:r>
    </w:p>
    <w:p w14:paraId="063F286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7F49C9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大岭村产业逐渐多元化的根本原因是（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022363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交通便利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政策扶持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市场需求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环境优美</w:t>
      </w:r>
    </w:p>
    <w:p w14:paraId="6FBD91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大岭村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发展经验最适合推广应用到（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796981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规模较小，将要搬迁撤并的乡村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距城较近，文化特色鲜明的乡村</w:t>
      </w:r>
    </w:p>
    <w:p w14:paraId="635CDE6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规模较大，人口不断减少的乡村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距城较远，城乡联系不强的乡村</w:t>
      </w:r>
    </w:p>
    <w:p w14:paraId="4CEC5148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2024年4月中旬，常年炎热干燥的波斯湾附近出现多个雷暴雨团，形成暴雨带，迪拜24小时内降水量超过160毫米，约为多年平均降水量的2倍。此类极端天气过程的形成与中纬度西风带的南移波动有关。下图示意暴雨时该区域500百帕高度气压分布。据此完成下面小题。</w:t>
      </w:r>
    </w:p>
    <w:p w14:paraId="01C0F0C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86225" cy="202882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86225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2559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图中甲处</w:t>
      </w:r>
      <w:r>
        <w:rPr>
          <w:rFonts w:ascii="Times New Roman" w:hAnsi="Times New Roman" w:eastAsia="Times New Roman" w:cs="Times New Roman"/>
          <w:color w:val="000000"/>
        </w:rPr>
        <w:t>500</w:t>
      </w:r>
      <w:r>
        <w:rPr>
          <w:rFonts w:ascii="宋体" w:hAnsi="宋体" w:eastAsia="宋体" w:cs="宋体"/>
          <w:color w:val="000000"/>
        </w:rPr>
        <w:t>百帕高度的风向为（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11F233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西北风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东南风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东北风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西南风</w:t>
      </w:r>
    </w:p>
    <w:p w14:paraId="01C96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本次暴雨过程中冷空气强烈下沉会导致迪拜（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0D28DA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气温上升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气压降低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雨量剧增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风速突变</w:t>
      </w:r>
    </w:p>
    <w:p w14:paraId="620B67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相同天气现象易发生于（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1FAD36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美国东南部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南非西北部</w:t>
      </w:r>
    </w:p>
    <w:p w14:paraId="7F41F51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阿根廷西部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意大利北部</w:t>
      </w:r>
    </w:p>
    <w:p w14:paraId="744AF05A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科考队考察某冰川时，发现一块巨石覆于小块冰体上。巨石整体颜色偏浅，质地均匀，棱角分明，无纹理和层理，矿物晶体清晰可辨。下图示意该现象场景。据此完成下面小题。</w:t>
      </w:r>
    </w:p>
    <w:p w14:paraId="300C52B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19325" cy="150495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1241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图中覆于小块冰体上的巨石为（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FC6DB4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玄武岩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大理岩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花岗岩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石灰岩</w:t>
      </w:r>
    </w:p>
    <w:p w14:paraId="33038A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图中覆于小块冰体上的巨石来自（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65820C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侧坡上部，岩体风化后崩落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冰川上游，冰川搬运后堆积</w:t>
      </w:r>
    </w:p>
    <w:p w14:paraId="08BE300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冰川基底，冰川发育时顶出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冰川内部，冰川融化后出露</w:t>
      </w:r>
    </w:p>
    <w:p w14:paraId="10CE36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开展该区域过去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年冰川面积变化研究的最佳方法为（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AB224C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实地调查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仪器监测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遥感解译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数据模拟</w:t>
      </w:r>
    </w:p>
    <w:p w14:paraId="4DF89EA8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班克斯半岛位于新西兰南岛东侧，整体轮廓浑圆，海岸线曲折，地形崎岖。半岛以西的坎特伯雷平原草原广袤，平原东部城市克赖斯特彻奇多年平均降水量约650毫米，7月多年平均最低气温1.9℃。图4示意该区域地形。据此完成下面小题。</w:t>
      </w:r>
    </w:p>
    <w:p w14:paraId="01C7684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48050" cy="18097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4748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班克斯半岛的形成过程是（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CE2A44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洋流侵蚀海岸线凹向陆地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海岸差异侵蚀残留的山地</w:t>
      </w:r>
    </w:p>
    <w:p w14:paraId="36A7659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构造抬升使浅海成为陆地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冲积平原扩张与岛屿相连</w:t>
      </w:r>
    </w:p>
    <w:p w14:paraId="4772B8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坎特伯雷平原典型土壤剖面下部有明显的（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DBF43B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灰化层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钙积层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铁铝层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黏化层</w:t>
      </w:r>
    </w:p>
    <w:p w14:paraId="55B7A667">
      <w:pPr>
        <w:spacing w:line="285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52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1A57927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阅读图文材料，完成下列要求。</w:t>
      </w:r>
    </w:p>
    <w:p w14:paraId="09FCD60F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锂电产业是我国战略性新兴产业，产业上游主要是锂盐及锂材料生产，中游主要是锂电池生产，下游主要是系列终端产品生产，如手机、电脑、电动汽车等。成渝经济圈是我国重要的新能源汽车、消费电子产品生产基地。遂宁市位于成都和重庆的中间位置，经多年发展，逐渐占据国内锂盐和锂材料的优势地位，有“锂业之都”称号。下图示意遂宁市锂电产业发展时间轨迹。</w:t>
      </w:r>
    </w:p>
    <w:p w14:paraId="3AC2BC8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38650" cy="15049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6F52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说明大型锂业公司在遂宁市锂电产业发展中的作用。</w:t>
      </w:r>
    </w:p>
    <w:p w14:paraId="520D54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简析遂宁市发展锂电全产业链的优势。</w:t>
      </w:r>
    </w:p>
    <w:p w14:paraId="5612E5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分析遂宁市在成渝经济圈锂电产业发展中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916172143" name="图片 1916172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6172143" name="图片 191617214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合理定位。</w:t>
      </w:r>
    </w:p>
    <w:p w14:paraId="6834336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阅读图文材料，完成下列要求。</w:t>
      </w:r>
    </w:p>
    <w:p w14:paraId="0044BEDC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环南极海域表层海水中叶绿素光合作用所需的营养素含量丰富，但陆地物质输入匮乏、铁元素不足，导致该海域光合作用潜力无法充分发挥，成为典型的高营养素—低叶绿素海域。凯尔盖朗海台是一个顶面平坦宽阔的海底高地，位于46°S—64°S之间，宽200—600千米，北部最高处有岛屿分布。研究表明，该海台东侧海域叶绿素水平显著高于周边其他海域。下图示意凯尔盖朗海台及周边等深线。</w:t>
      </w:r>
    </w:p>
    <w:p w14:paraId="57BCE84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38650" cy="20193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8B49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描述图中岛屿的气候特征并分析其成因。</w:t>
      </w:r>
    </w:p>
    <w:p w14:paraId="6EACF3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解释凯尔盖朗海台东侧海域叶绿素水平显著高于周边其他海域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原因。</w:t>
      </w:r>
    </w:p>
    <w:p w14:paraId="22D8F9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推测环南极海域叶绿素水平变化在气候变化中的作用。</w:t>
      </w:r>
    </w:p>
    <w:p w14:paraId="6B95E78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阅读图文材料，完成下列要求。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12F3CC20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祁连山作为我国重要的生态安全屏障和水源涵养生态功能区，是河西走廊绿洲发展的重要水源地。祁连山的草原曾因过度放牧而出现生态退化现象。2011年以来，祁连山草原被划分为禁牧区和草畜平衡区（仍可放牧但不得超过核定载畜量），政府给予退出禁牧区的牧户补助、草畜平衡区的牧户奖励。经多年保护，祁连山草原生态得以恢复，促进了祁连山牧区和河西走廊农区的协同发展，牧户和农户的收益均得到提高。下图示意牧区—农区协同发展模式。</w:t>
      </w:r>
    </w:p>
    <w:p w14:paraId="503A7D4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67225" cy="200025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3C7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列举草畜平衡区牧户收入增加的途径。</w:t>
      </w:r>
    </w:p>
    <w:p w14:paraId="14F53B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分析河西走廊农区在祁连山草原保护中的作用。</w:t>
      </w:r>
    </w:p>
    <w:p w14:paraId="247B0F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简述该模式在促进区域生态与经济协同发展中的意义。</w:t>
      </w:r>
    </w:p>
    <w:p w14:paraId="6286F5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</w:p>
    <w:p w14:paraId="28F188C5">
      <w:pPr>
        <w:spacing w:line="360" w:lineRule="auto"/>
        <w:jc w:val="both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E536CF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E3B37E0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284F74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EEC29D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680542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92A005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2504AE0"/>
    <w:rsid w:val="12957862"/>
    <w:rsid w:val="25974474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5</Pages>
  <Words>2743</Words>
  <Characters>2909</Characters>
  <Lines>0</Lines>
  <Paragraphs>0</Paragraphs>
  <TotalTime>0</TotalTime>
  <ScaleCrop>false</ScaleCrop>
  <LinksUpToDate>false</LinksUpToDate>
  <CharactersWithSpaces>3180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2026-02-10T06:37:00Z</dcterms:created>
  <dc:creator>Administrator</dc:creator>
  <cp:lastModifiedBy>上帝掷骰子吗</cp:lastModifiedBy>
  <dcterms:modified xsi:type="dcterms:W3CDTF">2026-02-10T06:55:44Z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10441E615AE745EB9CF40A4BB56B34FD_12</vt:lpwstr>
  </property>
</Properties>
</file>