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53F37D">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11176000</wp:posOffset>
            </wp:positionH>
            <wp:positionV relativeFrom="topMargin">
              <wp:posOffset>10236200</wp:posOffset>
            </wp:positionV>
            <wp:extent cx="304800" cy="444500"/>
            <wp:effectExtent l="0" t="0" r="0" b="1270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304800" cy="4445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年广东省普通高中学业水平选择性考试</w:t>
      </w:r>
    </w:p>
    <w:p w14:paraId="12C8F77C">
      <w:pPr>
        <w:spacing w:line="285" w:lineRule="auto"/>
        <w:jc w:val="center"/>
      </w:pPr>
      <w:r>
        <w:rPr>
          <w:rFonts w:ascii="宋体" w:hAnsi="宋体" w:eastAsia="宋体" w:cs="宋体"/>
          <w:b/>
          <w:color w:val="auto"/>
          <w:sz w:val="32"/>
        </w:rPr>
        <w:t>地理</w:t>
      </w:r>
    </w:p>
    <w:p w14:paraId="088E7CAD">
      <w:pPr>
        <w:spacing w:line="285" w:lineRule="auto"/>
        <w:jc w:val="both"/>
      </w:pPr>
      <w:r>
        <w:rPr>
          <w:rFonts w:ascii="宋体" w:hAnsi="宋体" w:eastAsia="宋体" w:cs="宋体"/>
          <w:b/>
          <w:color w:val="auto"/>
          <w:sz w:val="24"/>
        </w:rPr>
        <w:t>本试卷共</w:t>
      </w:r>
      <w:r>
        <w:rPr>
          <w:rFonts w:ascii="Times New Roman" w:hAnsi="Times New Roman" w:eastAsia="Times New Roman" w:cs="Times New Roman"/>
          <w:b/>
          <w:color w:val="auto"/>
          <w:sz w:val="24"/>
        </w:rPr>
        <w:t>6</w:t>
      </w:r>
      <w:r>
        <w:rPr>
          <w:rFonts w:ascii="宋体" w:hAnsi="宋体" w:eastAsia="宋体" w:cs="宋体"/>
          <w:b/>
          <w:color w:val="auto"/>
          <w:sz w:val="24"/>
        </w:rPr>
        <w:t>页，</w:t>
      </w:r>
      <w:r>
        <w:rPr>
          <w:rFonts w:ascii="Times New Roman" w:hAnsi="Times New Roman" w:eastAsia="Times New Roman" w:cs="Times New Roman"/>
          <w:b/>
          <w:color w:val="auto"/>
          <w:sz w:val="24"/>
        </w:rPr>
        <w:t>19</w:t>
      </w:r>
      <w:r>
        <w:rPr>
          <w:rFonts w:ascii="宋体" w:hAnsi="宋体" w:eastAsia="宋体" w:cs="宋体"/>
          <w:b/>
          <w:color w:val="auto"/>
          <w:sz w:val="24"/>
        </w:rPr>
        <w:t>小题，满分</w:t>
      </w:r>
      <w:r>
        <w:rPr>
          <w:rFonts w:ascii="Times New Roman" w:hAnsi="Times New Roman" w:eastAsia="Times New Roman" w:cs="Times New Roman"/>
          <w:b/>
          <w:color w:val="auto"/>
          <w:sz w:val="24"/>
        </w:rPr>
        <w:t>100</w:t>
      </w:r>
      <w:r>
        <w:rPr>
          <w:rFonts w:ascii="宋体" w:hAnsi="宋体" w:eastAsia="宋体" w:cs="宋体"/>
          <w:b/>
          <w:color w:val="auto"/>
          <w:sz w:val="24"/>
        </w:rPr>
        <w:t>分。考试用时</w:t>
      </w:r>
      <w:r>
        <w:rPr>
          <w:rFonts w:ascii="Times New Roman" w:hAnsi="Times New Roman" w:eastAsia="Times New Roman" w:cs="Times New Roman"/>
          <w:b/>
          <w:color w:val="auto"/>
          <w:sz w:val="24"/>
        </w:rPr>
        <w:t>75</w:t>
      </w:r>
      <w:r>
        <w:rPr>
          <w:rFonts w:ascii="宋体" w:hAnsi="宋体" w:eastAsia="宋体" w:cs="宋体"/>
          <w:b/>
          <w:color w:val="auto"/>
          <w:sz w:val="24"/>
        </w:rPr>
        <w:t>分钟。</w:t>
      </w:r>
    </w:p>
    <w:p w14:paraId="6EB96C57">
      <w:pPr>
        <w:spacing w:line="285" w:lineRule="auto"/>
        <w:jc w:val="both"/>
      </w:pPr>
      <w:r>
        <w:rPr>
          <w:rFonts w:ascii="宋体" w:hAnsi="宋体" w:eastAsia="宋体" w:cs="宋体"/>
          <w:b/>
          <w:color w:val="auto"/>
          <w:sz w:val="24"/>
        </w:rPr>
        <w:t>注意事项：</w:t>
      </w:r>
      <w:r>
        <w:rPr>
          <w:rFonts w:ascii="Times New Roman" w:hAnsi="Times New Roman" w:eastAsia="Times New Roman" w:cs="Times New Roman"/>
          <w:b/>
          <w:color w:val="auto"/>
          <w:sz w:val="24"/>
        </w:rPr>
        <w:t>1</w:t>
      </w:r>
      <w:r>
        <w:rPr>
          <w:rFonts w:ascii="宋体" w:hAnsi="宋体" w:eastAsia="宋体" w:cs="宋体"/>
          <w:b/>
          <w:color w:val="auto"/>
          <w:sz w:val="24"/>
        </w:rPr>
        <w:t>．答题前，考生务必用黑色字迹的钢笔或签字笔将自己的姓名、考生号、考场号和座位号填写在答题卡上。用</w:t>
      </w:r>
      <w:r>
        <w:rPr>
          <w:rFonts w:ascii="Times New Roman" w:hAnsi="Times New Roman" w:eastAsia="Times New Roman" w:cs="Times New Roman"/>
          <w:b/>
          <w:color w:val="auto"/>
          <w:sz w:val="24"/>
        </w:rPr>
        <w:t>2B</w:t>
      </w:r>
      <w:r>
        <w:rPr>
          <w:rFonts w:ascii="宋体" w:hAnsi="宋体" w:eastAsia="宋体" w:cs="宋体"/>
          <w:b/>
          <w:color w:val="auto"/>
          <w:sz w:val="24"/>
        </w:rPr>
        <w:t>铅笔将试卷类型（</w:t>
      </w:r>
      <w:r>
        <w:rPr>
          <w:rFonts w:ascii="Times New Roman" w:hAnsi="Times New Roman" w:eastAsia="Times New Roman" w:cs="Times New Roman"/>
          <w:b/>
          <w:color w:val="auto"/>
          <w:sz w:val="24"/>
        </w:rPr>
        <w:t>A</w:t>
      </w:r>
      <w:r>
        <w:rPr>
          <w:rFonts w:ascii="宋体" w:hAnsi="宋体" w:eastAsia="宋体" w:cs="宋体"/>
          <w:b/>
          <w:color w:val="auto"/>
          <w:sz w:val="24"/>
        </w:rPr>
        <w:t>）填涂在答题卡相应位置上。将条形码横贴在答题卡右上角</w:t>
      </w:r>
      <w:r>
        <w:rPr>
          <w:rFonts w:ascii="Times New Roman" w:hAnsi="Times New Roman" w:eastAsia="Times New Roman" w:cs="Times New Roman"/>
          <w:b/>
          <w:color w:val="auto"/>
          <w:sz w:val="24"/>
        </w:rPr>
        <w:t>“</w:t>
      </w:r>
      <w:r>
        <w:rPr>
          <w:rFonts w:ascii="宋体" w:hAnsi="宋体" w:eastAsia="宋体" w:cs="宋体"/>
          <w:b/>
          <w:color w:val="auto"/>
          <w:sz w:val="24"/>
        </w:rPr>
        <w:t>条形码粘贴处</w:t>
      </w:r>
      <w:r>
        <w:rPr>
          <w:rFonts w:ascii="Times New Roman" w:hAnsi="Times New Roman" w:eastAsia="Times New Roman" w:cs="Times New Roman"/>
          <w:b/>
          <w:color w:val="auto"/>
          <w:sz w:val="24"/>
        </w:rPr>
        <w:t>”</w:t>
      </w:r>
      <w:r>
        <w:rPr>
          <w:rFonts w:ascii="宋体" w:hAnsi="宋体" w:eastAsia="宋体" w:cs="宋体"/>
          <w:b/>
          <w:color w:val="auto"/>
          <w:sz w:val="24"/>
        </w:rPr>
        <w:t>。</w:t>
      </w:r>
    </w:p>
    <w:p w14:paraId="7407D23D">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．作答选择题时，选出每小题答案后，用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铅笔把答题卡上对应题目选项的答案信息点涂黑；如需改动，用橡皮擦干净后，再选涂其他答案，答案不能答在试卷上。</w:t>
      </w:r>
    </w:p>
    <w:p w14:paraId="651009B1">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非选择题必须用黑色字迹的钢笔或签字笔作答，答案必须写在答题卡各题目指定区域内相应位置上；如需改动，先划掉原来的答案，然后再写上新的答案；不准使用铅笔和涂改液。不按以上要求作答的答案无效。</w:t>
      </w:r>
    </w:p>
    <w:p w14:paraId="409D9EF8">
      <w:pPr>
        <w:spacing w:line="285"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．考生必须保持答题卡的整洁。考试结束后，将试卷和答题卡一并交回。</w:t>
      </w:r>
    </w:p>
    <w:p w14:paraId="49AF4EFB">
      <w:pPr>
        <w:spacing w:line="285" w:lineRule="auto"/>
        <w:jc w:val="both"/>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16</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分。在每小题列出的四个选项中，只有一项符合题目要求。</w:t>
      </w:r>
    </w:p>
    <w:p w14:paraId="7B735EAA">
      <w:pPr>
        <w:spacing w:line="360" w:lineRule="auto"/>
        <w:ind w:firstLine="420"/>
        <w:jc w:val="both"/>
      </w:pPr>
      <w:r>
        <w:rPr>
          <w:rFonts w:ascii="Times New Roman" w:hAnsi="Times New Roman" w:eastAsia="Times New Roman" w:cs="Times New Roman"/>
          <w:color w:val="auto"/>
        </w:rPr>
        <w:t>1984</w:t>
      </w:r>
      <w:r>
        <w:rPr>
          <w:rFonts w:ascii="楷体" w:hAnsi="楷体" w:eastAsia="楷体" w:cs="楷体"/>
          <w:color w:val="auto"/>
        </w:rPr>
        <w:t>年以来，贺兰山东麓地区葡萄酒产业发展经历了萌发停滞（</w:t>
      </w:r>
      <w:r>
        <w:rPr>
          <w:rFonts w:ascii="Times New Roman" w:hAnsi="Times New Roman" w:eastAsia="Times New Roman" w:cs="Times New Roman"/>
          <w:color w:val="auto"/>
        </w:rPr>
        <w:t>Ⅰ</w:t>
      </w:r>
      <w:r>
        <w:rPr>
          <w:rFonts w:ascii="楷体" w:hAnsi="楷体" w:eastAsia="楷体" w:cs="楷体"/>
          <w:color w:val="auto"/>
        </w:rPr>
        <w:t>）、缓慢发展（</w:t>
      </w:r>
      <w:r>
        <w:rPr>
          <w:rFonts w:ascii="Times New Roman" w:hAnsi="Times New Roman" w:eastAsia="Times New Roman" w:cs="Times New Roman"/>
          <w:color w:val="auto"/>
        </w:rPr>
        <w:t>Ⅱ</w:t>
      </w:r>
      <w:r>
        <w:rPr>
          <w:rFonts w:ascii="楷体" w:hAnsi="楷体" w:eastAsia="楷体" w:cs="楷体"/>
          <w:color w:val="auto"/>
        </w:rPr>
        <w:t>）、快速发展（</w:t>
      </w:r>
      <w:r>
        <w:rPr>
          <w:rFonts w:ascii="Times New Roman" w:hAnsi="Times New Roman" w:eastAsia="Times New Roman" w:cs="Times New Roman"/>
          <w:color w:val="auto"/>
        </w:rPr>
        <w:t>Ⅲ</w:t>
      </w:r>
      <w:r>
        <w:rPr>
          <w:rFonts w:ascii="楷体" w:hAnsi="楷体" w:eastAsia="楷体" w:cs="楷体"/>
          <w:color w:val="auto"/>
        </w:rPr>
        <w:t>）和高速发展（</w:t>
      </w:r>
      <w:r>
        <w:rPr>
          <w:rFonts w:ascii="Times New Roman" w:hAnsi="Times New Roman" w:eastAsia="Times New Roman" w:cs="Times New Roman"/>
          <w:color w:val="auto"/>
        </w:rPr>
        <w:t>Ⅳ</w:t>
      </w:r>
      <w:r>
        <w:rPr>
          <w:rFonts w:ascii="楷体" w:hAnsi="楷体" w:eastAsia="楷体" w:cs="楷体"/>
          <w:color w:val="auto"/>
        </w:rPr>
        <w:t>）</w:t>
      </w:r>
      <w:r>
        <w:rPr>
          <w:rFonts w:ascii="Times New Roman" w:hAnsi="Times New Roman" w:eastAsia="Times New Roman" w:cs="Times New Roman"/>
          <w:color w:val="auto"/>
        </w:rPr>
        <w:t>4</w:t>
      </w:r>
      <w:r>
        <w:rPr>
          <w:rFonts w:ascii="楷体" w:hAnsi="楷体" w:eastAsia="楷体" w:cs="楷体"/>
          <w:color w:val="auto"/>
        </w:rPr>
        <w:t>个阶段，葡萄种植面积持续增加，葡萄酒生产集群规模不断扩大且重心向东南方向移动。如图反映</w:t>
      </w:r>
      <w:r>
        <w:rPr>
          <w:rFonts w:ascii="Times New Roman" w:hAnsi="Times New Roman" w:eastAsia="Times New Roman" w:cs="Times New Roman"/>
          <w:color w:val="auto"/>
        </w:rPr>
        <w:t>4</w:t>
      </w:r>
      <w:r>
        <w:rPr>
          <w:rFonts w:ascii="楷体" w:hAnsi="楷体" w:eastAsia="楷体" w:cs="楷体"/>
          <w:color w:val="auto"/>
        </w:rPr>
        <w:t>个阶段葡萄种植区自然要素变化。据此完成下面小题。</w:t>
      </w:r>
    </w:p>
    <w:p w14:paraId="0A9CC895">
      <w:pPr>
        <w:spacing w:line="360" w:lineRule="auto"/>
        <w:jc w:val="both"/>
      </w:pPr>
      <w:r>
        <w:drawing>
          <wp:inline distT="0" distB="0" distL="114300" distR="114300">
            <wp:extent cx="5238750" cy="1062355"/>
            <wp:effectExtent l="0" t="0" r="0" b="444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062393"/>
                    </a:xfrm>
                    <a:prstGeom prst="rect">
                      <a:avLst/>
                    </a:prstGeom>
                  </pic:spPr>
                </pic:pic>
              </a:graphicData>
            </a:graphic>
          </wp:inline>
        </w:drawing>
      </w:r>
    </w:p>
    <w:p w14:paraId="5F0BB947">
      <w:pPr>
        <w:spacing w:line="360" w:lineRule="auto"/>
        <w:jc w:val="left"/>
      </w:pPr>
      <w:r>
        <w:rPr>
          <w:color w:val="auto"/>
        </w:rPr>
        <w:t xml:space="preserve">1. </w:t>
      </w:r>
      <w:r>
        <w:rPr>
          <w:rFonts w:ascii="Times New Roman" w:hAnsi="Times New Roman" w:eastAsia="Times New Roman" w:cs="Times New Roman"/>
          <w:color w:val="auto"/>
        </w:rPr>
        <w:t>1984</w:t>
      </w:r>
      <w:r>
        <w:rPr>
          <w:rFonts w:ascii="宋体" w:hAnsi="宋体" w:eastAsia="宋体" w:cs="宋体"/>
          <w:color w:val="auto"/>
        </w:rPr>
        <w:t>年以来，贺兰山东麓地区新增葡萄种植区趋向（   ）</w:t>
      </w:r>
    </w:p>
    <w:p w14:paraId="474B5DDC">
      <w:pPr>
        <w:tabs>
          <w:tab w:val="left" w:pos="4873"/>
        </w:tabs>
        <w:spacing w:line="360" w:lineRule="auto"/>
        <w:jc w:val="left"/>
        <w:textAlignment w:val="center"/>
        <w:rPr>
          <w:color w:val="auto"/>
        </w:rPr>
      </w:pPr>
      <w:r>
        <w:t xml:space="preserve">A. </w:t>
      </w:r>
      <w:r>
        <w:rPr>
          <w:rFonts w:ascii="宋体" w:hAnsi="宋体" w:eastAsia="宋体" w:cs="宋体"/>
          <w:color w:val="auto"/>
        </w:rPr>
        <w:t>土壤更贫瘠地区</w:t>
      </w:r>
      <w:r>
        <w:tab/>
      </w:r>
      <w:r>
        <w:t xml:space="preserve">B. </w:t>
      </w:r>
      <w:r>
        <w:rPr>
          <w:rFonts w:ascii="宋体" w:hAnsi="宋体" w:eastAsia="宋体" w:cs="宋体"/>
          <w:color w:val="auto"/>
        </w:rPr>
        <w:t>黄河两侧平原区</w:t>
      </w:r>
    </w:p>
    <w:p w14:paraId="41266DC7">
      <w:pPr>
        <w:tabs>
          <w:tab w:val="left" w:pos="4873"/>
        </w:tabs>
        <w:spacing w:line="360" w:lineRule="auto"/>
        <w:jc w:val="left"/>
        <w:textAlignment w:val="center"/>
        <w:rPr>
          <w:color w:val="auto"/>
        </w:rPr>
      </w:pPr>
      <w:r>
        <w:t>C</w:t>
      </w:r>
      <w:r>
        <w:rPr>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暖湿化加剧地区</w:t>
      </w:r>
      <w:r>
        <w:tab/>
      </w:r>
      <w:r>
        <w:t xml:space="preserve">D. </w:t>
      </w:r>
      <w:r>
        <w:rPr>
          <w:rFonts w:ascii="宋体" w:hAnsi="宋体" w:eastAsia="宋体" w:cs="宋体"/>
          <w:color w:val="auto"/>
        </w:rPr>
        <w:t>贺兰山高海拔区</w:t>
      </w:r>
    </w:p>
    <w:p w14:paraId="2868F1A4">
      <w:pPr>
        <w:spacing w:line="360" w:lineRule="auto"/>
        <w:jc w:val="left"/>
      </w:pPr>
      <w:r>
        <w:rPr>
          <w:color w:val="auto"/>
        </w:rPr>
        <w:t xml:space="preserve">2. </w:t>
      </w:r>
      <w:r>
        <w:rPr>
          <w:rFonts w:ascii="宋体" w:hAnsi="宋体" w:eastAsia="宋体" w:cs="宋体"/>
          <w:color w:val="auto"/>
        </w:rPr>
        <w:t>驱动该地区葡萄酒生产集群规模不断扩大的主要因素有（   ）</w:t>
      </w:r>
    </w:p>
    <w:p w14:paraId="7189F614">
      <w:pPr>
        <w:spacing w:line="360" w:lineRule="auto"/>
        <w:jc w:val="both"/>
      </w:pPr>
      <w:r>
        <w:rPr>
          <w:rFonts w:ascii="宋体" w:hAnsi="宋体" w:eastAsia="宋体" w:cs="宋体"/>
          <w:color w:val="auto"/>
        </w:rPr>
        <w:t>①劳动力大量回流</w:t>
      </w:r>
      <w:r>
        <w:rPr>
          <w:rFonts w:ascii="Times New Roman" w:hAnsi="Times New Roman" w:eastAsia="Times New Roman" w:cs="Times New Roman"/>
          <w:color w:val="auto"/>
        </w:rPr>
        <w:t xml:space="preserve">    </w:t>
      </w:r>
      <w:r>
        <w:rPr>
          <w:rFonts w:ascii="宋体" w:hAnsi="宋体" w:eastAsia="宋体" w:cs="宋体"/>
          <w:color w:val="auto"/>
        </w:rPr>
        <w:t>②政策支持与激励</w:t>
      </w:r>
      <w:r>
        <w:rPr>
          <w:rFonts w:ascii="Times New Roman" w:hAnsi="Times New Roman" w:eastAsia="Times New Roman" w:cs="Times New Roman"/>
          <w:color w:val="auto"/>
        </w:rPr>
        <w:t xml:space="preserve">    </w:t>
      </w:r>
      <w:r>
        <w:rPr>
          <w:rFonts w:ascii="宋体" w:hAnsi="宋体" w:eastAsia="宋体" w:cs="宋体"/>
          <w:color w:val="auto"/>
        </w:rPr>
        <w:t>③肥沃的土地资源多</w:t>
      </w:r>
    </w:p>
    <w:p w14:paraId="351B9C76">
      <w:pPr>
        <w:spacing w:line="360" w:lineRule="auto"/>
        <w:jc w:val="both"/>
      </w:pPr>
      <w:r>
        <w:rPr>
          <w:rFonts w:ascii="宋体" w:hAnsi="宋体" w:eastAsia="宋体" w:cs="宋体"/>
          <w:color w:val="auto"/>
        </w:rPr>
        <w:t>④旺盛的市场需求</w:t>
      </w:r>
      <w:r>
        <w:rPr>
          <w:rFonts w:ascii="Times New Roman" w:hAnsi="Times New Roman" w:eastAsia="Times New Roman" w:cs="Times New Roman"/>
          <w:color w:val="auto"/>
        </w:rPr>
        <w:t xml:space="preserve">    </w:t>
      </w:r>
      <w:r>
        <w:rPr>
          <w:rFonts w:ascii="宋体" w:hAnsi="宋体" w:eastAsia="宋体" w:cs="宋体"/>
          <w:color w:val="auto"/>
        </w:rPr>
        <w:t>⑤适宜的气候条件</w:t>
      </w:r>
      <w:r>
        <w:rPr>
          <w:rFonts w:ascii="Times New Roman" w:hAnsi="Times New Roman" w:eastAsia="Times New Roman" w:cs="Times New Roman"/>
          <w:color w:val="auto"/>
        </w:rPr>
        <w:t xml:space="preserve">    </w:t>
      </w:r>
      <w:r>
        <w:rPr>
          <w:rFonts w:ascii="宋体" w:hAnsi="宋体" w:eastAsia="宋体" w:cs="宋体"/>
          <w:color w:val="auto"/>
        </w:rPr>
        <w:t>⑥企业示范效应显著</w:t>
      </w:r>
    </w:p>
    <w:p w14:paraId="12884CEC">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①③⑤</w:t>
      </w:r>
      <w:r>
        <w:tab/>
      </w:r>
      <w:r>
        <w:t xml:space="preserve">B. </w:t>
      </w:r>
      <w:r>
        <w:rPr>
          <w:rFonts w:ascii="宋体" w:hAnsi="宋体" w:eastAsia="宋体" w:cs="宋体"/>
          <w:color w:val="auto"/>
        </w:rPr>
        <w:t>①④⑤</w:t>
      </w:r>
      <w:r>
        <w:tab/>
      </w:r>
      <w:r>
        <w:t xml:space="preserve">C. </w:t>
      </w:r>
      <w:r>
        <w:rPr>
          <w:rFonts w:ascii="宋体" w:hAnsi="宋体" w:eastAsia="宋体" w:cs="宋体"/>
          <w:color w:val="auto"/>
        </w:rPr>
        <w:t>②③⑥</w:t>
      </w:r>
      <w:r>
        <w:tab/>
      </w:r>
      <w:r>
        <w:t xml:space="preserve">D. </w:t>
      </w:r>
      <w:r>
        <w:rPr>
          <w:rFonts w:ascii="宋体" w:hAnsi="宋体" w:eastAsia="宋体" w:cs="宋体"/>
          <w:color w:val="auto"/>
        </w:rPr>
        <w:t>②④⑥</w:t>
      </w:r>
    </w:p>
    <w:p w14:paraId="501A532C">
      <w:pPr>
        <w:spacing w:line="360" w:lineRule="auto"/>
        <w:ind w:firstLine="420"/>
        <w:jc w:val="both"/>
        <w:textAlignment w:val="center"/>
        <w:rPr>
          <w:color w:val="000000"/>
        </w:rPr>
      </w:pPr>
      <w:r>
        <w:rPr>
          <w:rFonts w:ascii="楷体" w:hAnsi="楷体" w:eastAsia="楷体" w:cs="楷体"/>
          <w:color w:val="000000"/>
        </w:rPr>
        <w:t>有效辐射为下垫面向上长波辐射与大气逆辐射的差值。如图表示</w:t>
      </w:r>
      <w:r>
        <w:rPr>
          <w:rFonts w:ascii="Times New Roman" w:hAnsi="Times New Roman" w:eastAsia="Times New Roman" w:cs="Times New Roman"/>
          <w:color w:val="000000"/>
        </w:rPr>
        <w:t>2003—2012</w:t>
      </w:r>
      <w:r>
        <w:rPr>
          <w:rFonts w:ascii="楷体" w:hAnsi="楷体" w:eastAsia="楷体" w:cs="楷体"/>
          <w:color w:val="000000"/>
        </w:rPr>
        <w:t>年云南省西双版纳热带季雨林林冠层向上长波辐射（</w:t>
      </w:r>
      <w:r>
        <w:rPr>
          <w:rFonts w:ascii="Times New Roman" w:hAnsi="Times New Roman" w:eastAsia="Times New Roman" w:cs="Times New Roman"/>
          <w:color w:val="000000"/>
        </w:rPr>
        <w:t>L↑</w:t>
      </w:r>
      <w:r>
        <w:rPr>
          <w:rFonts w:ascii="楷体" w:hAnsi="楷体" w:eastAsia="楷体" w:cs="楷体"/>
          <w:color w:val="000000"/>
        </w:rPr>
        <w:t>）及其上大气逆辐射（</w:t>
      </w:r>
      <w:r>
        <w:rPr>
          <w:rFonts w:ascii="Times New Roman" w:hAnsi="Times New Roman" w:eastAsia="Times New Roman" w:cs="Times New Roman"/>
          <w:color w:val="000000"/>
        </w:rPr>
        <w:t>L↓</w:t>
      </w:r>
      <w:r>
        <w:rPr>
          <w:rFonts w:ascii="楷体" w:hAnsi="楷体" w:eastAsia="楷体" w:cs="楷体"/>
          <w:color w:val="000000"/>
        </w:rPr>
        <w:t>）的月平均变化。据此完成下面小题。</w:t>
      </w:r>
    </w:p>
    <w:p w14:paraId="7E310361">
      <w:pPr>
        <w:spacing w:line="360" w:lineRule="auto"/>
        <w:jc w:val="both"/>
        <w:textAlignment w:val="center"/>
        <w:rPr>
          <w:color w:val="000000"/>
        </w:rPr>
      </w:pPr>
      <w:r>
        <w:rPr>
          <w:color w:val="000000"/>
        </w:rPr>
        <w:drawing>
          <wp:inline distT="0" distB="0" distL="114300" distR="114300">
            <wp:extent cx="3924300" cy="24098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924300" cy="2409825"/>
                    </a:xfrm>
                    <a:prstGeom prst="rect">
                      <a:avLst/>
                    </a:prstGeom>
                  </pic:spPr>
                </pic:pic>
              </a:graphicData>
            </a:graphic>
          </wp:inline>
        </w:drawing>
      </w:r>
    </w:p>
    <w:p w14:paraId="47F2A4ED">
      <w:pPr>
        <w:spacing w:line="360" w:lineRule="auto"/>
        <w:jc w:val="left"/>
        <w:textAlignment w:val="center"/>
        <w:rPr>
          <w:color w:val="000000"/>
        </w:rPr>
      </w:pPr>
      <w:r>
        <w:rPr>
          <w:color w:val="000000"/>
        </w:rPr>
        <w:t xml:space="preserve">3. </w:t>
      </w:r>
      <w:r>
        <w:rPr>
          <w:rFonts w:ascii="宋体" w:hAnsi="宋体" w:eastAsia="宋体" w:cs="宋体"/>
          <w:color w:val="000000"/>
        </w:rPr>
        <w:t>与</w:t>
      </w:r>
      <w:r>
        <w:rPr>
          <w:rFonts w:ascii="Times New Roman" w:hAnsi="Times New Roman" w:eastAsia="Times New Roman" w:cs="Times New Roman"/>
          <w:color w:val="000000"/>
        </w:rPr>
        <w:t>7—9</w:t>
      </w:r>
      <w:r>
        <w:rPr>
          <w:rFonts w:ascii="宋体" w:hAnsi="宋体" w:eastAsia="宋体" w:cs="宋体"/>
          <w:color w:val="000000"/>
        </w:rPr>
        <w:t>月相比，</w:t>
      </w:r>
      <w:r>
        <w:rPr>
          <w:rFonts w:ascii="Times New Roman" w:hAnsi="Times New Roman" w:eastAsia="Times New Roman" w:cs="Times New Roman"/>
          <w:color w:val="000000"/>
        </w:rPr>
        <w:t>2—4</w:t>
      </w:r>
      <w:r>
        <w:rPr>
          <w:rFonts w:ascii="宋体" w:hAnsi="宋体" w:eastAsia="宋体" w:cs="宋体"/>
          <w:color w:val="000000"/>
        </w:rPr>
        <w:t>月西双版纳热带季雨林林冠层之上的大气逆辐射值较低，主要是因为</w:t>
      </w:r>
      <w:r>
        <w:rPr>
          <w:rFonts w:ascii="Times New Roman" w:hAnsi="Times New Roman" w:eastAsia="Times New Roman" w:cs="Times New Roman"/>
          <w:color w:val="000000"/>
        </w:rPr>
        <w:t>2—4</w:t>
      </w:r>
      <w:r>
        <w:rPr>
          <w:rFonts w:ascii="宋体" w:hAnsi="宋体" w:eastAsia="宋体" w:cs="宋体"/>
          <w:color w:val="000000"/>
        </w:rPr>
        <w:t>月期间（   ）</w:t>
      </w:r>
    </w:p>
    <w:p w14:paraId="3736519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降水较多</w:t>
      </w:r>
      <w:r>
        <w:rPr>
          <w:color w:val="000000"/>
        </w:rPr>
        <w:tab/>
      </w:r>
      <w:r>
        <w:rPr>
          <w:color w:val="000000"/>
        </w:rPr>
        <w:t xml:space="preserve">B. </w:t>
      </w:r>
      <w:r>
        <w:rPr>
          <w:rFonts w:ascii="宋体" w:hAnsi="宋体" w:eastAsia="宋体" w:cs="宋体"/>
          <w:color w:val="000000"/>
        </w:rPr>
        <w:t>云雾较少</w:t>
      </w:r>
      <w:r>
        <w:rPr>
          <w:color w:val="000000"/>
        </w:rPr>
        <w:tab/>
      </w:r>
      <w:r>
        <w:rPr>
          <w:color w:val="000000"/>
        </w:rPr>
        <w:t xml:space="preserve">C. </w:t>
      </w:r>
      <w:r>
        <w:rPr>
          <w:rFonts w:ascii="宋体" w:hAnsi="宋体" w:eastAsia="宋体" w:cs="宋体"/>
          <w:color w:val="000000"/>
        </w:rPr>
        <w:t>地表植被覆盖度较低</w:t>
      </w:r>
      <w:r>
        <w:rPr>
          <w:color w:val="000000"/>
        </w:rPr>
        <w:tab/>
      </w:r>
      <w:r>
        <w:rPr>
          <w:color w:val="000000"/>
        </w:rPr>
        <w:t xml:space="preserve">D. </w:t>
      </w:r>
      <w:r>
        <w:rPr>
          <w:rFonts w:ascii="宋体" w:hAnsi="宋体" w:eastAsia="宋体" w:cs="宋体"/>
          <w:color w:val="000000"/>
        </w:rPr>
        <w:t>正午太阳高度角较大</w:t>
      </w:r>
    </w:p>
    <w:p w14:paraId="746925EF">
      <w:pPr>
        <w:spacing w:line="360" w:lineRule="auto"/>
        <w:jc w:val="left"/>
        <w:textAlignment w:val="center"/>
        <w:rPr>
          <w:color w:val="000000"/>
        </w:rPr>
      </w:pPr>
      <w:r>
        <w:rPr>
          <w:color w:val="000000"/>
        </w:rPr>
        <w:t xml:space="preserve">4. </w:t>
      </w:r>
      <w:r>
        <w:rPr>
          <w:rFonts w:ascii="宋体" w:hAnsi="宋体" w:eastAsia="宋体" w:cs="宋体"/>
          <w:color w:val="000000"/>
        </w:rPr>
        <w:t>根据有效辐射变化可知，一年中该地热带季雨林的林冠层（   ）</w:t>
      </w:r>
    </w:p>
    <w:p w14:paraId="520772F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表面的温度保持恒定</w:t>
      </w:r>
      <w:r>
        <w:rPr>
          <w:color w:val="000000"/>
        </w:rPr>
        <w:tab/>
      </w:r>
      <w:r>
        <w:rPr>
          <w:color w:val="000000"/>
        </w:rPr>
        <w:t xml:space="preserve">B. </w:t>
      </w:r>
      <w:r>
        <w:rPr>
          <w:rFonts w:ascii="宋体" w:hAnsi="宋体" w:eastAsia="宋体" w:cs="宋体"/>
          <w:color w:val="000000"/>
        </w:rPr>
        <w:t>热量主要来自大气层</w:t>
      </w:r>
    </w:p>
    <w:p w14:paraId="2A5C0AC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各月都是其上表层大气的冷源</w:t>
      </w:r>
      <w:r>
        <w:rPr>
          <w:color w:val="000000"/>
        </w:rPr>
        <w:tab/>
      </w:r>
      <w:r>
        <w:rPr>
          <w:color w:val="000000"/>
        </w:rPr>
        <w:t xml:space="preserve">D. </w:t>
      </w:r>
      <w:r>
        <w:rPr>
          <w:rFonts w:ascii="宋体" w:hAnsi="宋体" w:eastAsia="宋体" w:cs="宋体"/>
          <w:color w:val="000000"/>
        </w:rPr>
        <w:t>夏季对大气加热效果小于冬季</w:t>
      </w:r>
    </w:p>
    <w:p w14:paraId="66F6F955">
      <w:pPr>
        <w:spacing w:line="360" w:lineRule="auto"/>
        <w:ind w:firstLine="420"/>
        <w:jc w:val="both"/>
        <w:textAlignment w:val="center"/>
        <w:rPr>
          <w:color w:val="000000"/>
        </w:rPr>
      </w:pPr>
      <w:r>
        <w:rPr>
          <w:rFonts w:ascii="楷体" w:hAnsi="楷体" w:eastAsia="楷体" w:cs="楷体"/>
          <w:color w:val="000000"/>
        </w:rPr>
        <w:t>伦敦泰晤士河南岸旧城核心地带的某片区，</w:t>
      </w:r>
      <w:r>
        <w:rPr>
          <w:rFonts w:ascii="Times New Roman" w:hAnsi="Times New Roman" w:eastAsia="Times New Roman" w:cs="Times New Roman"/>
          <w:color w:val="000000"/>
        </w:rPr>
        <w:t>19</w:t>
      </w:r>
      <w:r>
        <w:rPr>
          <w:rFonts w:ascii="楷体" w:hAnsi="楷体" w:eastAsia="楷体" w:cs="楷体"/>
          <w:color w:val="000000"/>
        </w:rPr>
        <w:t>世纪初期工业繁荣、交通便捷。</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30</w:t>
      </w:r>
      <w:r>
        <w:rPr>
          <w:rFonts w:ascii="楷体" w:hAnsi="楷体" w:eastAsia="楷体" w:cs="楷体"/>
          <w:color w:val="000000"/>
        </w:rPr>
        <w:t>年代开始，该片区工业快速衰落。后经持续更新改造，该片区现已建成国家剧院、艺术中心和电影院等文化场馆，成为伦敦最具代表性的文化创意片区之一。据此完成下面小题。</w:t>
      </w:r>
    </w:p>
    <w:p w14:paraId="2102679B">
      <w:pPr>
        <w:spacing w:line="360" w:lineRule="auto"/>
        <w:jc w:val="left"/>
        <w:textAlignment w:val="center"/>
        <w:rPr>
          <w:color w:val="000000"/>
        </w:rPr>
      </w:pPr>
      <w:r>
        <w:rPr>
          <w:color w:val="000000"/>
        </w:rPr>
        <w:t xml:space="preserve">5. </w:t>
      </w:r>
      <w:r>
        <w:rPr>
          <w:rFonts w:ascii="宋体" w:hAnsi="宋体" w:eastAsia="宋体" w:cs="宋体"/>
          <w:color w:val="000000"/>
        </w:rPr>
        <w:t>更新改造初期，选择该片区布局文化场馆的最有利条件是（   ）</w:t>
      </w:r>
    </w:p>
    <w:p w14:paraId="5DAFF9C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失业工人数量多</w:t>
      </w:r>
      <w:r>
        <w:rPr>
          <w:color w:val="000000"/>
        </w:rPr>
        <w:tab/>
      </w:r>
      <w:r>
        <w:rPr>
          <w:color w:val="000000"/>
        </w:rPr>
        <w:t xml:space="preserve">B. </w:t>
      </w:r>
      <w:r>
        <w:rPr>
          <w:rFonts w:ascii="宋体" w:hAnsi="宋体" w:eastAsia="宋体" w:cs="宋体"/>
          <w:color w:val="000000"/>
        </w:rPr>
        <w:t>工业闲置用地多</w:t>
      </w:r>
    </w:p>
    <w:p w14:paraId="74CA0AC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功能分区较完善</w:t>
      </w:r>
      <w:r>
        <w:rPr>
          <w:color w:val="000000"/>
        </w:rPr>
        <w:tab/>
      </w:r>
      <w:r>
        <w:rPr>
          <w:color w:val="000000"/>
        </w:rPr>
        <w:t xml:space="preserve">D. </w:t>
      </w:r>
      <w:r>
        <w:rPr>
          <w:rFonts w:ascii="宋体" w:hAnsi="宋体" w:eastAsia="宋体" w:cs="宋体"/>
          <w:color w:val="000000"/>
        </w:rPr>
        <w:t>生产技术水平高</w:t>
      </w:r>
    </w:p>
    <w:p w14:paraId="3241C30C">
      <w:pPr>
        <w:spacing w:line="360" w:lineRule="auto"/>
        <w:jc w:val="left"/>
        <w:textAlignment w:val="center"/>
        <w:rPr>
          <w:color w:val="000000"/>
        </w:rPr>
      </w:pPr>
      <w:r>
        <w:rPr>
          <w:color w:val="000000"/>
        </w:rPr>
        <w:t xml:space="preserve">6. </w:t>
      </w:r>
      <w:r>
        <w:rPr>
          <w:rFonts w:ascii="宋体" w:hAnsi="宋体" w:eastAsia="宋体" w:cs="宋体"/>
          <w:color w:val="000000"/>
        </w:rPr>
        <w:t>更新改造后，泰晤士河该片区河段功能提升最明显的是（   ）</w:t>
      </w:r>
    </w:p>
    <w:p w14:paraId="23B90668">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休闲游憩</w:t>
      </w:r>
      <w:r>
        <w:rPr>
          <w:color w:val="000000"/>
        </w:rPr>
        <w:tab/>
      </w:r>
      <w:r>
        <w:rPr>
          <w:color w:val="000000"/>
        </w:rPr>
        <w:t xml:space="preserve">B. </w:t>
      </w:r>
      <w:r>
        <w:rPr>
          <w:rFonts w:ascii="宋体" w:hAnsi="宋体" w:eastAsia="宋体" w:cs="宋体"/>
          <w:color w:val="000000"/>
        </w:rPr>
        <w:t>水源供给</w:t>
      </w:r>
      <w:r>
        <w:rPr>
          <w:color w:val="000000"/>
        </w:rPr>
        <w:tab/>
      </w:r>
      <w:r>
        <w:rPr>
          <w:color w:val="000000"/>
        </w:rPr>
        <w:t xml:space="preserve">C. </w:t>
      </w:r>
      <w:r>
        <w:rPr>
          <w:rFonts w:ascii="宋体" w:hAnsi="宋体" w:eastAsia="宋体" w:cs="宋体"/>
          <w:color w:val="000000"/>
        </w:rPr>
        <w:t>物流运输</w:t>
      </w:r>
      <w:r>
        <w:rPr>
          <w:color w:val="000000"/>
        </w:rPr>
        <w:tab/>
      </w:r>
      <w:r>
        <w:rPr>
          <w:color w:val="000000"/>
        </w:rPr>
        <w:t xml:space="preserve">D. </w:t>
      </w:r>
      <w:r>
        <w:rPr>
          <w:rFonts w:ascii="宋体" w:hAnsi="宋体" w:eastAsia="宋体" w:cs="宋体"/>
          <w:color w:val="000000"/>
        </w:rPr>
        <w:t>生态保育</w:t>
      </w:r>
    </w:p>
    <w:p w14:paraId="11A80E69">
      <w:pPr>
        <w:spacing w:line="360" w:lineRule="auto"/>
        <w:ind w:firstLine="420"/>
        <w:jc w:val="both"/>
        <w:textAlignment w:val="center"/>
        <w:rPr>
          <w:color w:val="000000"/>
        </w:rPr>
      </w:pPr>
      <w:r>
        <w:rPr>
          <w:rFonts w:ascii="楷体" w:hAnsi="楷体" w:eastAsia="楷体" w:cs="楷体"/>
          <w:color w:val="000000"/>
        </w:rPr>
        <w:t>都市圈功能分工指数可反映都市圈内</w:t>
      </w:r>
      <w:r>
        <w:rPr>
          <w:rFonts w:ascii="Times New Roman" w:hAnsi="Times New Roman" w:eastAsia="Times New Roman" w:cs="Times New Roman"/>
          <w:color w:val="000000"/>
        </w:rPr>
        <w:t>“</w:t>
      </w:r>
      <w:r>
        <w:rPr>
          <w:rFonts w:ascii="楷体" w:hAnsi="楷体" w:eastAsia="楷体" w:cs="楷体"/>
          <w:color w:val="000000"/>
        </w:rPr>
        <w:t>生产性服务业在中心城市集聚、制造业在外围城市集聚</w:t>
      </w:r>
      <w:r>
        <w:rPr>
          <w:rFonts w:ascii="Times New Roman" w:hAnsi="Times New Roman" w:eastAsia="Times New Roman" w:cs="Times New Roman"/>
          <w:color w:val="000000"/>
        </w:rPr>
        <w:t>”</w:t>
      </w:r>
      <w:r>
        <w:rPr>
          <w:rFonts w:ascii="楷体" w:hAnsi="楷体" w:eastAsia="楷体" w:cs="楷体"/>
          <w:color w:val="000000"/>
        </w:rPr>
        <w:t>的城市分工特点，指数值越大，表明分工程度越高。表为</w:t>
      </w:r>
      <w:r>
        <w:rPr>
          <w:rFonts w:ascii="Times New Roman" w:hAnsi="Times New Roman" w:eastAsia="Times New Roman" w:cs="Times New Roman"/>
          <w:color w:val="000000"/>
        </w:rPr>
        <w:t>2008</w:t>
      </w:r>
      <w:r>
        <w:rPr>
          <w:rFonts w:ascii="楷体" w:hAnsi="楷体" w:eastAsia="楷体" w:cs="楷体"/>
          <w:color w:val="000000"/>
        </w:rPr>
        <w:t>年、</w:t>
      </w:r>
      <w:r>
        <w:rPr>
          <w:rFonts w:ascii="Times New Roman" w:hAnsi="Times New Roman" w:eastAsia="Times New Roman" w:cs="Times New Roman"/>
          <w:color w:val="000000"/>
        </w:rPr>
        <w:t>2015</w:t>
      </w:r>
      <w:r>
        <w:rPr>
          <w:rFonts w:ascii="楷体" w:hAnsi="楷体" w:eastAsia="楷体" w:cs="楷体"/>
          <w:color w:val="000000"/>
        </w:rPr>
        <w:t>年和</w:t>
      </w:r>
      <w:r>
        <w:rPr>
          <w:rFonts w:ascii="Times New Roman" w:hAnsi="Times New Roman" w:eastAsia="Times New Roman" w:cs="Times New Roman"/>
          <w:color w:val="000000"/>
        </w:rPr>
        <w:t>2019</w:t>
      </w:r>
      <w:r>
        <w:rPr>
          <w:rFonts w:ascii="楷体" w:hAnsi="楷体" w:eastAsia="楷体" w:cs="楷体"/>
          <w:color w:val="000000"/>
        </w:rPr>
        <w:t>年我国三个都市圈功能分工指数值。据此完成下面小题。</w:t>
      </w:r>
    </w:p>
    <w:tbl>
      <w:tblPr>
        <w:tblStyle w:val="4"/>
        <w:tblW w:w="46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40"/>
        <w:gridCol w:w="1080"/>
        <w:gridCol w:w="1080"/>
        <w:gridCol w:w="1080"/>
      </w:tblGrid>
      <w:tr w14:paraId="0397D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D40306">
            <w:pPr>
              <w:spacing w:line="360" w:lineRule="auto"/>
              <w:jc w:val="center"/>
              <w:textAlignment w:val="center"/>
              <w:rPr>
                <w:color w:val="000000"/>
              </w:rPr>
            </w:pPr>
            <w:r>
              <w:rPr>
                <w:rFonts w:ascii="楷体" w:hAnsi="楷体" w:eastAsia="楷体" w:cs="楷体"/>
                <w:color w:val="000000"/>
              </w:rPr>
              <w:t>名称</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6FC37A">
            <w:pPr>
              <w:spacing w:line="360" w:lineRule="auto"/>
              <w:jc w:val="center"/>
              <w:textAlignment w:val="center"/>
              <w:rPr>
                <w:color w:val="000000"/>
              </w:rPr>
            </w:pPr>
            <w:r>
              <w:rPr>
                <w:rFonts w:ascii="Times New Roman" w:hAnsi="Times New Roman" w:eastAsia="Times New Roman" w:cs="Times New Roman"/>
                <w:color w:val="000000"/>
              </w:rPr>
              <w:t>2008</w:t>
            </w:r>
            <w:r>
              <w:rPr>
                <w:rFonts w:ascii="楷体" w:hAnsi="楷体" w:eastAsia="楷体" w:cs="楷体"/>
                <w:color w:val="000000"/>
              </w:rPr>
              <w:t>年</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044691">
            <w:pPr>
              <w:spacing w:line="360" w:lineRule="auto"/>
              <w:jc w:val="center"/>
              <w:textAlignment w:val="center"/>
              <w:rPr>
                <w:color w:val="000000"/>
              </w:rPr>
            </w:pPr>
            <w:r>
              <w:rPr>
                <w:rFonts w:ascii="Times New Roman" w:hAnsi="Times New Roman" w:eastAsia="Times New Roman" w:cs="Times New Roman"/>
                <w:color w:val="000000"/>
              </w:rPr>
              <w:t>2015</w:t>
            </w:r>
            <w:r>
              <w:rPr>
                <w:rFonts w:ascii="楷体" w:hAnsi="楷体" w:eastAsia="楷体" w:cs="楷体"/>
                <w:color w:val="000000"/>
              </w:rPr>
              <w:t>年</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E26C20">
            <w:pPr>
              <w:spacing w:line="360" w:lineRule="auto"/>
              <w:jc w:val="center"/>
              <w:textAlignment w:val="center"/>
              <w:rPr>
                <w:color w:val="000000"/>
              </w:rPr>
            </w:pPr>
            <w:r>
              <w:rPr>
                <w:rFonts w:ascii="Times New Roman" w:hAnsi="Times New Roman" w:eastAsia="Times New Roman" w:cs="Times New Roman"/>
                <w:color w:val="000000"/>
              </w:rPr>
              <w:t>2019</w:t>
            </w:r>
            <w:r>
              <w:rPr>
                <w:rFonts w:ascii="楷体" w:hAnsi="楷体" w:eastAsia="楷体" w:cs="楷体"/>
                <w:color w:val="000000"/>
              </w:rPr>
              <w:t>年</w:t>
            </w:r>
          </w:p>
        </w:tc>
      </w:tr>
      <w:tr w14:paraId="219A6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0C03C6">
            <w:pPr>
              <w:spacing w:line="360" w:lineRule="auto"/>
              <w:jc w:val="center"/>
              <w:textAlignment w:val="center"/>
              <w:rPr>
                <w:color w:val="000000"/>
              </w:rPr>
            </w:pPr>
            <w:r>
              <w:rPr>
                <w:rFonts w:ascii="楷体" w:hAnsi="楷体" w:eastAsia="楷体" w:cs="楷体"/>
                <w:color w:val="000000"/>
              </w:rPr>
              <w:t>上海都市圈</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0529EE">
            <w:pPr>
              <w:spacing w:line="360" w:lineRule="auto"/>
              <w:jc w:val="center"/>
              <w:textAlignment w:val="center"/>
              <w:rPr>
                <w:color w:val="000000"/>
              </w:rPr>
            </w:pPr>
            <w:r>
              <w:rPr>
                <w:rFonts w:ascii="Times New Roman" w:hAnsi="Times New Roman" w:eastAsia="Times New Roman" w:cs="Times New Roman"/>
                <w:color w:val="000000"/>
              </w:rPr>
              <w:t>3.45</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91F65B">
            <w:pPr>
              <w:spacing w:line="360" w:lineRule="auto"/>
              <w:jc w:val="center"/>
              <w:textAlignment w:val="center"/>
              <w:rPr>
                <w:color w:val="000000"/>
              </w:rPr>
            </w:pPr>
            <w:r>
              <w:rPr>
                <w:rFonts w:ascii="Times New Roman" w:hAnsi="Times New Roman" w:eastAsia="Times New Roman" w:cs="Times New Roman"/>
                <w:color w:val="000000"/>
              </w:rPr>
              <w:t>5.21</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153754">
            <w:pPr>
              <w:spacing w:line="360" w:lineRule="auto"/>
              <w:jc w:val="center"/>
              <w:textAlignment w:val="center"/>
              <w:rPr>
                <w:color w:val="000000"/>
              </w:rPr>
            </w:pPr>
            <w:r>
              <w:rPr>
                <w:rFonts w:ascii="Times New Roman" w:hAnsi="Times New Roman" w:eastAsia="Times New Roman" w:cs="Times New Roman"/>
                <w:color w:val="000000"/>
              </w:rPr>
              <w:t>6.54</w:t>
            </w:r>
          </w:p>
        </w:tc>
      </w:tr>
      <w:tr w14:paraId="7C48E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B1A060">
            <w:pPr>
              <w:spacing w:line="360" w:lineRule="auto"/>
              <w:jc w:val="center"/>
              <w:textAlignment w:val="center"/>
              <w:rPr>
                <w:color w:val="000000"/>
              </w:rPr>
            </w:pPr>
            <w:r>
              <w:rPr>
                <w:rFonts w:ascii="楷体" w:hAnsi="楷体" w:eastAsia="楷体" w:cs="楷体"/>
                <w:color w:val="000000"/>
              </w:rPr>
              <w:t>兰州都市圈</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99DD33">
            <w:pPr>
              <w:spacing w:line="360" w:lineRule="auto"/>
              <w:jc w:val="center"/>
              <w:textAlignment w:val="center"/>
              <w:rPr>
                <w:color w:val="000000"/>
              </w:rPr>
            </w:pPr>
            <w:r>
              <w:rPr>
                <w:rFonts w:ascii="Times New Roman" w:hAnsi="Times New Roman" w:eastAsia="Times New Roman" w:cs="Times New Roman"/>
                <w:color w:val="000000"/>
              </w:rPr>
              <w:t>2.20</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E8ECF4">
            <w:pPr>
              <w:spacing w:line="360" w:lineRule="auto"/>
              <w:jc w:val="center"/>
              <w:textAlignment w:val="center"/>
              <w:rPr>
                <w:color w:val="000000"/>
              </w:rPr>
            </w:pPr>
            <w:r>
              <w:rPr>
                <w:rFonts w:ascii="Times New Roman" w:hAnsi="Times New Roman" w:eastAsia="Times New Roman" w:cs="Times New Roman"/>
                <w:color w:val="000000"/>
              </w:rPr>
              <w:t>2.36</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BDE37A">
            <w:pPr>
              <w:spacing w:line="360" w:lineRule="auto"/>
              <w:jc w:val="center"/>
              <w:textAlignment w:val="center"/>
              <w:rPr>
                <w:color w:val="000000"/>
              </w:rPr>
            </w:pPr>
            <w:r>
              <w:rPr>
                <w:rFonts w:ascii="Times New Roman" w:hAnsi="Times New Roman" w:eastAsia="Times New Roman" w:cs="Times New Roman"/>
                <w:color w:val="000000"/>
              </w:rPr>
              <w:t>2.78</w:t>
            </w:r>
          </w:p>
        </w:tc>
      </w:tr>
      <w:tr w14:paraId="45C07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73C8F0">
            <w:pPr>
              <w:spacing w:line="360" w:lineRule="auto"/>
              <w:jc w:val="center"/>
              <w:textAlignment w:val="center"/>
              <w:rPr>
                <w:color w:val="000000"/>
              </w:rPr>
            </w:pPr>
            <w:r>
              <w:rPr>
                <w:rFonts w:ascii="楷体" w:hAnsi="楷体" w:eastAsia="楷体" w:cs="楷体"/>
                <w:color w:val="000000"/>
              </w:rPr>
              <w:t>合肥都市圈</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C069C3">
            <w:pPr>
              <w:spacing w:line="360" w:lineRule="auto"/>
              <w:jc w:val="center"/>
              <w:textAlignment w:val="center"/>
              <w:rPr>
                <w:color w:val="000000"/>
              </w:rPr>
            </w:pPr>
            <w:r>
              <w:rPr>
                <w:rFonts w:ascii="Times New Roman" w:hAnsi="Times New Roman" w:eastAsia="Times New Roman" w:cs="Times New Roman"/>
                <w:color w:val="000000"/>
              </w:rPr>
              <w:t>2.16</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79D775">
            <w:pPr>
              <w:spacing w:line="360" w:lineRule="auto"/>
              <w:jc w:val="center"/>
              <w:textAlignment w:val="center"/>
              <w:rPr>
                <w:color w:val="000000"/>
              </w:rPr>
            </w:pPr>
            <w:r>
              <w:rPr>
                <w:rFonts w:ascii="Times New Roman" w:hAnsi="Times New Roman" w:eastAsia="Times New Roman" w:cs="Times New Roman"/>
                <w:color w:val="000000"/>
              </w:rPr>
              <w:t>0.81</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8C995C">
            <w:pPr>
              <w:spacing w:line="360" w:lineRule="auto"/>
              <w:jc w:val="center"/>
              <w:textAlignment w:val="center"/>
              <w:rPr>
                <w:color w:val="000000"/>
              </w:rPr>
            </w:pPr>
            <w:r>
              <w:rPr>
                <w:rFonts w:ascii="Times New Roman" w:hAnsi="Times New Roman" w:eastAsia="Times New Roman" w:cs="Times New Roman"/>
                <w:color w:val="000000"/>
              </w:rPr>
              <w:t>0.97</w:t>
            </w:r>
          </w:p>
        </w:tc>
      </w:tr>
    </w:tbl>
    <w:p w14:paraId="246C1FC3">
      <w:pPr>
        <w:spacing w:line="360" w:lineRule="auto"/>
        <w:jc w:val="both"/>
        <w:textAlignment w:val="center"/>
        <w:rPr>
          <w:color w:val="000000"/>
        </w:rPr>
      </w:pPr>
    </w:p>
    <w:p w14:paraId="73496D83">
      <w:pPr>
        <w:spacing w:line="360" w:lineRule="auto"/>
        <w:jc w:val="left"/>
        <w:textAlignment w:val="center"/>
        <w:rPr>
          <w:color w:val="000000"/>
        </w:rPr>
      </w:pPr>
      <w:r>
        <w:rPr>
          <w:color w:val="000000"/>
        </w:rPr>
        <w:t xml:space="preserve">7. </w:t>
      </w:r>
      <w:r>
        <w:rPr>
          <w:rFonts w:ascii="宋体" w:hAnsi="宋体" w:eastAsia="宋体" w:cs="宋体"/>
          <w:color w:val="000000"/>
        </w:rPr>
        <w:t>从区域空间组织视角考虑，与</w:t>
      </w:r>
      <w:r>
        <w:rPr>
          <w:rFonts w:ascii="Times New Roman" w:hAnsi="Times New Roman" w:eastAsia="Times New Roman" w:cs="Times New Roman"/>
          <w:color w:val="000000"/>
        </w:rPr>
        <w:t>2008</w:t>
      </w:r>
      <w:r>
        <w:rPr>
          <w:rFonts w:ascii="宋体" w:hAnsi="宋体" w:eastAsia="宋体" w:cs="宋体"/>
          <w:color w:val="000000"/>
        </w:rPr>
        <w:t>年相比，</w:t>
      </w:r>
      <w:r>
        <w:rPr>
          <w:rFonts w:ascii="Times New Roman" w:hAnsi="Times New Roman" w:eastAsia="Times New Roman" w:cs="Times New Roman"/>
          <w:color w:val="000000"/>
        </w:rPr>
        <w:t>2019</w:t>
      </w:r>
      <w:r>
        <w:rPr>
          <w:rFonts w:ascii="宋体" w:hAnsi="宋体" w:eastAsia="宋体" w:cs="宋体"/>
          <w:color w:val="000000"/>
        </w:rPr>
        <w:t>年上海都市圈内（   ）</w:t>
      </w:r>
    </w:p>
    <w:p w14:paraId="487AF30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各城市间</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信息流大幅降低</w:t>
      </w:r>
      <w:r>
        <w:rPr>
          <w:color w:val="000000"/>
        </w:rPr>
        <w:tab/>
      </w:r>
      <w:r>
        <w:rPr>
          <w:color w:val="000000"/>
        </w:rPr>
        <w:t xml:space="preserve">B. </w:t>
      </w:r>
      <w:r>
        <w:rPr>
          <w:rFonts w:ascii="宋体" w:hAnsi="宋体" w:eastAsia="宋体" w:cs="宋体"/>
          <w:color w:val="000000"/>
        </w:rPr>
        <w:t>城市间功能互补性明显减弱</w:t>
      </w:r>
    </w:p>
    <w:p w14:paraId="2D7DC8C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中心城市辐射能力显著提升</w:t>
      </w:r>
      <w:r>
        <w:rPr>
          <w:color w:val="000000"/>
        </w:rPr>
        <w:tab/>
      </w:r>
      <w:r>
        <w:rPr>
          <w:color w:val="000000"/>
        </w:rPr>
        <w:t xml:space="preserve">D. </w:t>
      </w:r>
      <w:r>
        <w:rPr>
          <w:rFonts w:ascii="宋体" w:hAnsi="宋体" w:eastAsia="宋体" w:cs="宋体"/>
          <w:color w:val="000000"/>
        </w:rPr>
        <w:t>中心城市制造业多样化增强</w:t>
      </w:r>
    </w:p>
    <w:p w14:paraId="6A6AEFF6">
      <w:pPr>
        <w:spacing w:line="360" w:lineRule="auto"/>
        <w:jc w:val="left"/>
        <w:textAlignment w:val="center"/>
        <w:rPr>
          <w:color w:val="000000"/>
        </w:rPr>
      </w:pPr>
      <w:r>
        <w:rPr>
          <w:color w:val="000000"/>
        </w:rPr>
        <w:t xml:space="preserve">8. </w:t>
      </w:r>
      <w:r>
        <w:rPr>
          <w:rFonts w:ascii="宋体" w:hAnsi="宋体" w:eastAsia="宋体" w:cs="宋体"/>
          <w:color w:val="000000"/>
        </w:rPr>
        <w:t>根据合肥和兰州两个都市圈的功能分工指数值变化，可以判断（   ）</w:t>
      </w:r>
    </w:p>
    <w:p w14:paraId="3EF8059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兰州市生产性服务业产值降低</w:t>
      </w:r>
      <w:r>
        <w:rPr>
          <w:color w:val="000000"/>
        </w:rPr>
        <w:tab/>
      </w:r>
      <w:r>
        <w:rPr>
          <w:color w:val="000000"/>
        </w:rPr>
        <w:t xml:space="preserve">B. </w:t>
      </w:r>
      <w:r>
        <w:rPr>
          <w:rFonts w:ascii="宋体" w:hAnsi="宋体" w:eastAsia="宋体" w:cs="宋体"/>
          <w:color w:val="000000"/>
        </w:rPr>
        <w:t>兰州都市圈的地域范围扩大</w:t>
      </w:r>
    </w:p>
    <w:p w14:paraId="0524336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合肥市受上海都市圈影响较大</w:t>
      </w:r>
      <w:r>
        <w:rPr>
          <w:color w:val="000000"/>
        </w:rPr>
        <w:tab/>
      </w:r>
      <w:r>
        <w:rPr>
          <w:color w:val="000000"/>
        </w:rPr>
        <w:t xml:space="preserve">D. </w:t>
      </w:r>
      <w:r>
        <w:rPr>
          <w:rFonts w:ascii="宋体" w:hAnsi="宋体" w:eastAsia="宋体" w:cs="宋体"/>
          <w:color w:val="000000"/>
        </w:rPr>
        <w:t>合肥都市圈的城市数量增多</w:t>
      </w:r>
    </w:p>
    <w:p w14:paraId="3658DEF9">
      <w:pPr>
        <w:spacing w:line="360" w:lineRule="auto"/>
        <w:ind w:firstLine="420"/>
        <w:jc w:val="both"/>
        <w:textAlignment w:val="center"/>
        <w:rPr>
          <w:color w:val="000000"/>
        </w:rPr>
      </w:pPr>
      <w:r>
        <w:rPr>
          <w:rFonts w:ascii="楷体" w:hAnsi="楷体" w:eastAsia="楷体" w:cs="楷体"/>
          <w:color w:val="000000"/>
        </w:rPr>
        <w:t>峡湾是冰川</w:t>
      </w:r>
      <w:r>
        <w:rPr>
          <w:rFonts w:ascii="Times New Roman" w:hAnsi="Times New Roman" w:eastAsia="Times New Roman" w:cs="Times New Roman"/>
          <w:color w:val="000000"/>
        </w:rPr>
        <w:t>U</w:t>
      </w:r>
      <w:r>
        <w:rPr>
          <w:rFonts w:ascii="楷体" w:hAnsi="楷体" w:eastAsia="楷体" w:cs="楷体"/>
          <w:color w:val="000000"/>
        </w:rPr>
        <w:t>形谷后期被海水淹没而形成的槽形谷。极地气候峡湾几乎常被海冰或冰川覆盖。而温带气候峡湾全年几乎没有海冰覆盖。如图示意在北半球发育极地气候峡湾的甲地和发育温带气候峡湾的乙地位置。据此完成下面小题。</w:t>
      </w:r>
    </w:p>
    <w:p w14:paraId="6766367F">
      <w:pPr>
        <w:spacing w:line="360" w:lineRule="auto"/>
        <w:jc w:val="both"/>
        <w:textAlignment w:val="center"/>
        <w:rPr>
          <w:color w:val="000000"/>
        </w:rPr>
      </w:pPr>
      <w:r>
        <w:rPr>
          <w:color w:val="000000"/>
        </w:rPr>
        <w:drawing>
          <wp:inline distT="0" distB="0" distL="114300" distR="114300">
            <wp:extent cx="3924300" cy="19335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924300" cy="1933575"/>
                    </a:xfrm>
                    <a:prstGeom prst="rect">
                      <a:avLst/>
                    </a:prstGeom>
                  </pic:spPr>
                </pic:pic>
              </a:graphicData>
            </a:graphic>
          </wp:inline>
        </w:drawing>
      </w:r>
    </w:p>
    <w:p w14:paraId="230774B1">
      <w:pPr>
        <w:spacing w:line="360" w:lineRule="auto"/>
        <w:jc w:val="left"/>
        <w:textAlignment w:val="center"/>
        <w:rPr>
          <w:color w:val="000000"/>
        </w:rPr>
      </w:pPr>
      <w:r>
        <w:rPr>
          <w:color w:val="000000"/>
        </w:rPr>
        <w:t xml:space="preserve">9. </w:t>
      </w:r>
      <w:r>
        <w:rPr>
          <w:rFonts w:ascii="宋体" w:hAnsi="宋体" w:eastAsia="宋体" w:cs="宋体"/>
          <w:color w:val="000000"/>
        </w:rPr>
        <w:t>与甲地对比，温带气候峡湾在乙地发育的主要原因是乙地（   ）</w:t>
      </w:r>
    </w:p>
    <w:p w14:paraId="258FA0E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冬季白昼的时长更长</w:t>
      </w:r>
      <w:r>
        <w:rPr>
          <w:color w:val="000000"/>
        </w:rPr>
        <w:tab/>
      </w:r>
      <w:r>
        <w:rPr>
          <w:color w:val="000000"/>
        </w:rPr>
        <w:t xml:space="preserve">B. </w:t>
      </w:r>
      <w:r>
        <w:rPr>
          <w:rFonts w:ascii="宋体" w:hAnsi="宋体" w:eastAsia="宋体" w:cs="宋体"/>
          <w:color w:val="000000"/>
        </w:rPr>
        <w:t>受到了暖流增温影响</w:t>
      </w:r>
    </w:p>
    <w:p w14:paraId="45DA002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经历了更强的构造运动</w:t>
      </w:r>
      <w:r>
        <w:rPr>
          <w:color w:val="000000"/>
        </w:rPr>
        <w:tab/>
      </w:r>
      <w:r>
        <w:rPr>
          <w:color w:val="000000"/>
        </w:rPr>
        <w:t xml:space="preserve">D. </w:t>
      </w:r>
      <w:r>
        <w:rPr>
          <w:rFonts w:ascii="宋体" w:hAnsi="宋体" w:eastAsia="宋体" w:cs="宋体"/>
          <w:color w:val="000000"/>
        </w:rPr>
        <w:t>海平面上升的幅度更大</w:t>
      </w:r>
    </w:p>
    <w:p w14:paraId="6C6F0F88">
      <w:pPr>
        <w:spacing w:line="360" w:lineRule="auto"/>
        <w:jc w:val="left"/>
        <w:textAlignment w:val="center"/>
        <w:rPr>
          <w:color w:val="000000"/>
        </w:rPr>
      </w:pPr>
      <w:r>
        <w:rPr>
          <w:color w:val="000000"/>
        </w:rPr>
        <w:t xml:space="preserve">10. </w:t>
      </w:r>
      <w:r>
        <w:rPr>
          <w:rFonts w:ascii="宋体" w:hAnsi="宋体" w:eastAsia="宋体" w:cs="宋体"/>
          <w:color w:val="000000"/>
        </w:rPr>
        <w:t>研究发现，极地气候峡湾沉积物中有机碳的累积速率往往较温带气候峡湾低，主要是因为极地气候峡湾区（   ）</w:t>
      </w:r>
    </w:p>
    <w:p w14:paraId="248AA76E">
      <w:pPr>
        <w:spacing w:line="360" w:lineRule="auto"/>
        <w:jc w:val="both"/>
        <w:textAlignment w:val="center"/>
        <w:rPr>
          <w:color w:val="000000"/>
        </w:rPr>
      </w:pPr>
      <w:r>
        <w:rPr>
          <w:rFonts w:ascii="宋体" w:hAnsi="宋体" w:eastAsia="宋体" w:cs="宋体"/>
          <w:color w:val="000000"/>
        </w:rPr>
        <w:t>①植被覆盖度更低</w:t>
      </w:r>
      <w:r>
        <w:rPr>
          <w:rFonts w:ascii="Times New Roman" w:hAnsi="Times New Roman" w:eastAsia="Times New Roman" w:cs="Times New Roman"/>
          <w:color w:val="000000"/>
        </w:rPr>
        <w:t xml:space="preserve">    </w:t>
      </w:r>
      <w:r>
        <w:rPr>
          <w:rFonts w:ascii="宋体" w:hAnsi="宋体" w:eastAsia="宋体" w:cs="宋体"/>
          <w:color w:val="000000"/>
        </w:rPr>
        <w:t>②入海的径流更少</w:t>
      </w:r>
      <w:r>
        <w:rPr>
          <w:rFonts w:ascii="Times New Roman" w:hAnsi="Times New Roman" w:eastAsia="Times New Roman" w:cs="Times New Roman"/>
          <w:color w:val="000000"/>
        </w:rPr>
        <w:t xml:space="preserve">    </w:t>
      </w:r>
      <w:r>
        <w:rPr>
          <w:rFonts w:ascii="宋体" w:hAnsi="宋体" w:eastAsia="宋体" w:cs="宋体"/>
          <w:color w:val="000000"/>
        </w:rPr>
        <w:t>③海水的盐度更低</w:t>
      </w:r>
      <w:r>
        <w:rPr>
          <w:rFonts w:ascii="Times New Roman" w:hAnsi="Times New Roman" w:eastAsia="Times New Roman" w:cs="Times New Roman"/>
          <w:color w:val="000000"/>
        </w:rPr>
        <w:t xml:space="preserve">    </w:t>
      </w:r>
      <w:r>
        <w:rPr>
          <w:rFonts w:ascii="宋体" w:hAnsi="宋体" w:eastAsia="宋体" w:cs="宋体"/>
          <w:color w:val="000000"/>
        </w:rPr>
        <w:t>④波浪的动力更小</w:t>
      </w:r>
    </w:p>
    <w:p w14:paraId="31BFF3B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3B7DA36E">
      <w:pPr>
        <w:spacing w:line="360" w:lineRule="auto"/>
        <w:ind w:firstLine="420"/>
        <w:jc w:val="both"/>
        <w:textAlignment w:val="center"/>
        <w:rPr>
          <w:color w:val="000000"/>
        </w:rPr>
      </w:pPr>
      <w:r>
        <w:rPr>
          <w:rFonts w:ascii="楷体" w:hAnsi="楷体" w:eastAsia="楷体" w:cs="楷体"/>
          <w:color w:val="000000"/>
        </w:rPr>
        <w:t>发育于云南省临沧市某处半山腰的硝洞是一个石灰岩溶洞，洞内有较厚的夹杂石灰岩砾石块的粉砂质黏土沉积物，其表层有约</w:t>
      </w:r>
      <w:r>
        <w:rPr>
          <w:rFonts w:ascii="Times New Roman" w:hAnsi="Times New Roman" w:eastAsia="Times New Roman" w:cs="Times New Roman"/>
          <w:color w:val="000000"/>
        </w:rPr>
        <w:t>2m</w:t>
      </w:r>
      <w:r>
        <w:rPr>
          <w:rFonts w:ascii="楷体" w:hAnsi="楷体" w:eastAsia="楷体" w:cs="楷体"/>
          <w:color w:val="000000"/>
        </w:rPr>
        <w:t>厚的文化层（含有古人类活动遗留物的沉积层）。左图为硝洞剖面示意图；右图为自洞内望向洞口方向的景观照片。据此完成下面小题。</w:t>
      </w:r>
    </w:p>
    <w:p w14:paraId="005D35C3">
      <w:pPr>
        <w:spacing w:line="360" w:lineRule="auto"/>
        <w:jc w:val="both"/>
        <w:textAlignment w:val="center"/>
        <w:rPr>
          <w:color w:val="000000"/>
        </w:rPr>
      </w:pPr>
      <w:r>
        <w:rPr>
          <w:color w:val="000000"/>
        </w:rPr>
        <w:drawing>
          <wp:inline distT="0" distB="0" distL="114300" distR="114300">
            <wp:extent cx="2181225" cy="26289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181225" cy="2628900"/>
                    </a:xfrm>
                    <a:prstGeom prst="rect">
                      <a:avLst/>
                    </a:prstGeom>
                  </pic:spPr>
                </pic:pic>
              </a:graphicData>
            </a:graphic>
          </wp:inline>
        </w:drawing>
      </w:r>
      <w:r>
        <w:rPr>
          <w:color w:val="000000"/>
        </w:rPr>
        <w:drawing>
          <wp:inline distT="0" distB="0" distL="114300" distR="114300">
            <wp:extent cx="2276475" cy="25717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276475" cy="2571750"/>
                    </a:xfrm>
                    <a:prstGeom prst="rect">
                      <a:avLst/>
                    </a:prstGeom>
                  </pic:spPr>
                </pic:pic>
              </a:graphicData>
            </a:graphic>
          </wp:inline>
        </w:drawing>
      </w:r>
    </w:p>
    <w:p w14:paraId="4294A9A1">
      <w:pPr>
        <w:spacing w:line="360" w:lineRule="auto"/>
        <w:jc w:val="left"/>
        <w:textAlignment w:val="center"/>
        <w:rPr>
          <w:color w:val="000000"/>
        </w:rPr>
      </w:pPr>
      <w:r>
        <w:rPr>
          <w:color w:val="000000"/>
        </w:rPr>
        <w:t xml:space="preserve">11. </w:t>
      </w:r>
      <w:r>
        <w:rPr>
          <w:rFonts w:ascii="宋体" w:hAnsi="宋体" w:eastAsia="宋体" w:cs="宋体"/>
          <w:color w:val="000000"/>
        </w:rPr>
        <w:t>参与该溶洞形成的主要外力作用包括（   ）</w:t>
      </w:r>
    </w:p>
    <w:p w14:paraId="41DC254C">
      <w:pPr>
        <w:spacing w:line="360" w:lineRule="auto"/>
        <w:jc w:val="both"/>
        <w:textAlignment w:val="center"/>
        <w:rPr>
          <w:color w:val="000000"/>
        </w:rPr>
      </w:pPr>
      <w:r>
        <w:rPr>
          <w:rFonts w:ascii="宋体" w:hAnsi="宋体" w:eastAsia="宋体" w:cs="宋体"/>
          <w:color w:val="000000"/>
        </w:rPr>
        <w:t>①化学溶蚀</w:t>
      </w:r>
      <w:r>
        <w:rPr>
          <w:rFonts w:ascii="Times New Roman" w:hAnsi="Times New Roman" w:eastAsia="Times New Roman" w:cs="Times New Roman"/>
          <w:color w:val="000000"/>
        </w:rPr>
        <w:t xml:space="preserve">    </w:t>
      </w:r>
      <w:r>
        <w:rPr>
          <w:rFonts w:ascii="宋体" w:hAnsi="宋体" w:eastAsia="宋体" w:cs="宋体"/>
          <w:color w:val="000000"/>
        </w:rPr>
        <w:t>②重力崩塌</w:t>
      </w:r>
      <w:r>
        <w:rPr>
          <w:rFonts w:ascii="Times New Roman" w:hAnsi="Times New Roman" w:eastAsia="Times New Roman" w:cs="Times New Roman"/>
          <w:color w:val="000000"/>
        </w:rPr>
        <w:t xml:space="preserve">    </w:t>
      </w:r>
      <w:r>
        <w:rPr>
          <w:rFonts w:ascii="宋体" w:hAnsi="宋体" w:eastAsia="宋体" w:cs="宋体"/>
          <w:color w:val="000000"/>
        </w:rPr>
        <w:t>③冰川刨蚀</w:t>
      </w:r>
      <w:r>
        <w:rPr>
          <w:rFonts w:ascii="Times New Roman" w:hAnsi="Times New Roman" w:eastAsia="Times New Roman" w:cs="Times New Roman"/>
          <w:color w:val="000000"/>
        </w:rPr>
        <w:t xml:space="preserve">    </w:t>
      </w:r>
      <w:r>
        <w:rPr>
          <w:rFonts w:ascii="宋体" w:hAnsi="宋体" w:eastAsia="宋体" w:cs="宋体"/>
          <w:color w:val="000000"/>
        </w:rPr>
        <w:t>④风力吹蚀</w:t>
      </w:r>
      <w:r>
        <w:rPr>
          <w:rFonts w:ascii="Times New Roman" w:hAnsi="Times New Roman" w:eastAsia="Times New Roman" w:cs="Times New Roman"/>
          <w:color w:val="000000"/>
        </w:rPr>
        <w:t xml:space="preserve">    </w:t>
      </w:r>
      <w:r>
        <w:rPr>
          <w:rFonts w:ascii="宋体" w:hAnsi="宋体" w:eastAsia="宋体" w:cs="宋体"/>
          <w:color w:val="000000"/>
        </w:rPr>
        <w:t>⑤流水侵蚀</w:t>
      </w:r>
    </w:p>
    <w:p w14:paraId="595DF62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①②⑤</w:t>
      </w:r>
      <w:r>
        <w:rPr>
          <w:color w:val="000000"/>
        </w:rPr>
        <w:tab/>
      </w:r>
      <w:r>
        <w:rPr>
          <w:color w:val="000000"/>
        </w:rPr>
        <w:t xml:space="preserve">C. </w:t>
      </w:r>
      <w:r>
        <w:rPr>
          <w:rFonts w:ascii="宋体" w:hAnsi="宋体" w:eastAsia="宋体" w:cs="宋体"/>
          <w:color w:val="000000"/>
        </w:rPr>
        <w:t>①④⑤</w:t>
      </w:r>
      <w:r>
        <w:rPr>
          <w:color w:val="000000"/>
        </w:rPr>
        <w:tab/>
      </w:r>
      <w:r>
        <w:rPr>
          <w:color w:val="000000"/>
        </w:rPr>
        <w:t xml:space="preserve">D. </w:t>
      </w:r>
      <w:r>
        <w:rPr>
          <w:rFonts w:ascii="宋体" w:hAnsi="宋体" w:eastAsia="宋体" w:cs="宋体"/>
          <w:color w:val="000000"/>
        </w:rPr>
        <w:t>③④⑤</w:t>
      </w:r>
    </w:p>
    <w:p w14:paraId="0509A2FF">
      <w:pPr>
        <w:spacing w:line="360" w:lineRule="auto"/>
        <w:jc w:val="left"/>
        <w:textAlignment w:val="center"/>
        <w:rPr>
          <w:color w:val="000000"/>
        </w:rPr>
      </w:pPr>
      <w:r>
        <w:rPr>
          <w:color w:val="000000"/>
        </w:rPr>
        <w:t xml:space="preserve">12. </w:t>
      </w:r>
      <w:r>
        <w:rPr>
          <w:rFonts w:ascii="宋体" w:hAnsi="宋体" w:eastAsia="宋体" w:cs="宋体"/>
          <w:color w:val="000000"/>
        </w:rPr>
        <w:t>可推断，该溶洞内的粉砂质黏土沉积物主要源自（   ）</w:t>
      </w:r>
    </w:p>
    <w:p w14:paraId="4214652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洞顶的滴水化学淀积物</w:t>
      </w:r>
      <w:r>
        <w:rPr>
          <w:color w:val="000000"/>
        </w:rPr>
        <w:tab/>
      </w:r>
      <w:r>
        <w:rPr>
          <w:color w:val="000000"/>
        </w:rPr>
        <w:t xml:space="preserve">B. </w:t>
      </w:r>
      <w:r>
        <w:rPr>
          <w:rFonts w:ascii="宋体" w:hAnsi="宋体" w:eastAsia="宋体" w:cs="宋体"/>
          <w:color w:val="000000"/>
        </w:rPr>
        <w:t>人类活动遗留的堆填物</w:t>
      </w:r>
    </w:p>
    <w:p w14:paraId="5A598BA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洞内石灰岩崩塌堆积物</w:t>
      </w:r>
      <w:r>
        <w:rPr>
          <w:color w:val="000000"/>
        </w:rPr>
        <w:tab/>
      </w:r>
      <w:r>
        <w:rPr>
          <w:color w:val="000000"/>
        </w:rPr>
        <w:t xml:space="preserve">D. </w:t>
      </w:r>
      <w:r>
        <w:rPr>
          <w:rFonts w:ascii="宋体" w:hAnsi="宋体" w:eastAsia="宋体" w:cs="宋体"/>
          <w:color w:val="000000"/>
        </w:rPr>
        <w:t>地质时期的流水搬运物</w:t>
      </w:r>
    </w:p>
    <w:p w14:paraId="23EC14A4">
      <w:pPr>
        <w:spacing w:line="360" w:lineRule="auto"/>
        <w:ind w:firstLine="420"/>
        <w:jc w:val="both"/>
        <w:textAlignment w:val="center"/>
        <w:rPr>
          <w:color w:val="000000"/>
        </w:rPr>
      </w:pPr>
      <w:r>
        <w:rPr>
          <w:rFonts w:ascii="楷体" w:hAnsi="楷体" w:eastAsia="楷体" w:cs="楷体"/>
          <w:color w:val="000000"/>
        </w:rPr>
        <w:t>下图为珠穆朗玛峰南坡某冰川区暖季上、下气流运动状况示意图。据此完成下面小题。</w:t>
      </w:r>
    </w:p>
    <w:p w14:paraId="222B1AAD">
      <w:pPr>
        <w:spacing w:line="360" w:lineRule="auto"/>
        <w:jc w:val="both"/>
        <w:textAlignment w:val="center"/>
        <w:rPr>
          <w:color w:val="000000"/>
        </w:rPr>
      </w:pPr>
      <w:r>
        <w:rPr>
          <w:color w:val="000000"/>
        </w:rPr>
        <w:drawing>
          <wp:inline distT="0" distB="0" distL="114300" distR="114300">
            <wp:extent cx="3514725" cy="13144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514725" cy="1314450"/>
                    </a:xfrm>
                    <a:prstGeom prst="rect">
                      <a:avLst/>
                    </a:prstGeom>
                  </pic:spPr>
                </pic:pic>
              </a:graphicData>
            </a:graphic>
          </wp:inline>
        </w:drawing>
      </w:r>
    </w:p>
    <w:p w14:paraId="01BFAED2">
      <w:pPr>
        <w:spacing w:line="360" w:lineRule="auto"/>
        <w:jc w:val="left"/>
        <w:textAlignment w:val="center"/>
        <w:rPr>
          <w:color w:val="000000"/>
        </w:rPr>
      </w:pPr>
      <w:r>
        <w:rPr>
          <w:color w:val="000000"/>
        </w:rPr>
        <w:t xml:space="preserve">13. </w:t>
      </w:r>
      <w:r>
        <w:rPr>
          <w:rFonts w:ascii="宋体" w:hAnsi="宋体" w:eastAsia="宋体" w:cs="宋体"/>
          <w:color w:val="000000"/>
        </w:rPr>
        <w:t>若暖季上、下行气流常在图中</w:t>
      </w:r>
      <w:r>
        <w:rPr>
          <w:rFonts w:ascii="Times New Roman" w:hAnsi="Times New Roman" w:eastAsia="Times New Roman" w:cs="Times New Roman"/>
          <w:color w:val="000000"/>
        </w:rPr>
        <w:t>P</w:t>
      </w:r>
      <w:r>
        <w:rPr>
          <w:rFonts w:ascii="宋体" w:hAnsi="宋体" w:eastAsia="宋体" w:cs="宋体"/>
          <w:color w:val="000000"/>
        </w:rPr>
        <w:t>地附近交汇，则该地（   ）</w:t>
      </w:r>
    </w:p>
    <w:p w14:paraId="605A5A0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大气下沉气流增强</w:t>
      </w:r>
      <w:r>
        <w:rPr>
          <w:color w:val="000000"/>
        </w:rPr>
        <w:tab/>
      </w:r>
      <w:r>
        <w:rPr>
          <w:color w:val="000000"/>
        </w:rPr>
        <w:t xml:space="preserve">B. </w:t>
      </w:r>
      <w:r>
        <w:rPr>
          <w:rFonts w:ascii="宋体" w:hAnsi="宋体" w:eastAsia="宋体" w:cs="宋体"/>
          <w:color w:val="000000"/>
        </w:rPr>
        <w:t>冰面的流水作用减弱</w:t>
      </w:r>
    </w:p>
    <w:p w14:paraId="5326950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局地降水概率增加</w:t>
      </w:r>
      <w:r>
        <w:rPr>
          <w:color w:val="000000"/>
        </w:rPr>
        <w:tab/>
      </w:r>
      <w:r>
        <w:rPr>
          <w:color w:val="000000"/>
        </w:rPr>
        <w:t xml:space="preserve">D. </w:t>
      </w:r>
      <w:r>
        <w:rPr>
          <w:rFonts w:ascii="宋体" w:hAnsi="宋体" w:eastAsia="宋体" w:cs="宋体"/>
          <w:color w:val="000000"/>
        </w:rPr>
        <w:t>下行风焚风效应减弱</w:t>
      </w:r>
    </w:p>
    <w:p w14:paraId="1CEBDE10">
      <w:pPr>
        <w:spacing w:line="360" w:lineRule="auto"/>
        <w:jc w:val="left"/>
        <w:textAlignment w:val="center"/>
        <w:rPr>
          <w:color w:val="000000"/>
        </w:rPr>
      </w:pPr>
      <w:r>
        <w:rPr>
          <w:color w:val="000000"/>
        </w:rPr>
        <w:t xml:space="preserve">14. </w:t>
      </w:r>
      <w:r>
        <w:rPr>
          <w:rFonts w:ascii="宋体" w:hAnsi="宋体" w:eastAsia="宋体" w:cs="宋体"/>
          <w:color w:val="000000"/>
        </w:rPr>
        <w:t>近</w:t>
      </w:r>
      <w:r>
        <w:rPr>
          <w:rFonts w:ascii="Times New Roman" w:hAnsi="Times New Roman" w:eastAsia="Times New Roman" w:cs="Times New Roman"/>
          <w:color w:val="000000"/>
        </w:rPr>
        <w:t>30</w:t>
      </w:r>
      <w:r>
        <w:rPr>
          <w:rFonts w:ascii="宋体" w:hAnsi="宋体" w:eastAsia="宋体" w:cs="宋体"/>
          <w:color w:val="000000"/>
        </w:rPr>
        <w:t>年来，该地区暖季午间下行气流势力呈现增强趋势，由此可引起</w:t>
      </w:r>
      <w:r>
        <w:rPr>
          <w:rFonts w:ascii="Times New Roman" w:hAnsi="Times New Roman" w:eastAsia="Times New Roman" w:cs="Times New Roman"/>
          <w:color w:val="000000"/>
        </w:rPr>
        <w:t>P</w:t>
      </w:r>
      <w:r>
        <w:rPr>
          <w:rFonts w:ascii="宋体" w:hAnsi="宋体" w:eastAsia="宋体" w:cs="宋体"/>
          <w:color w:val="000000"/>
        </w:rPr>
        <w:t>地附近（   ）</w:t>
      </w:r>
    </w:p>
    <w:p w14:paraId="4CD7E61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年均气温趋于降低</w:t>
      </w:r>
      <w:r>
        <w:rPr>
          <w:color w:val="000000"/>
        </w:rPr>
        <w:tab/>
      </w:r>
      <w:r>
        <w:rPr>
          <w:color w:val="000000"/>
        </w:rPr>
        <w:t xml:space="preserve">B. </w:t>
      </w:r>
      <w:r>
        <w:rPr>
          <w:rFonts w:ascii="宋体" w:hAnsi="宋体" w:eastAsia="宋体" w:cs="宋体"/>
          <w:color w:val="000000"/>
        </w:rPr>
        <w:t>冰川消融加快</w:t>
      </w:r>
    </w:p>
    <w:p w14:paraId="315BFCB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年降水量趋于增加</w:t>
      </w:r>
      <w:r>
        <w:rPr>
          <w:color w:val="000000"/>
        </w:rPr>
        <w:tab/>
      </w:r>
      <w:r>
        <w:rPr>
          <w:color w:val="000000"/>
        </w:rPr>
        <w:t xml:space="preserve">D. </w:t>
      </w:r>
      <w:r>
        <w:rPr>
          <w:rFonts w:ascii="宋体" w:hAnsi="宋体" w:eastAsia="宋体" w:cs="宋体"/>
          <w:color w:val="000000"/>
        </w:rPr>
        <w:t>湖泊效应增强</w:t>
      </w:r>
    </w:p>
    <w:p w14:paraId="2118F479">
      <w:pPr>
        <w:spacing w:line="360" w:lineRule="auto"/>
        <w:ind w:firstLine="420"/>
        <w:jc w:val="both"/>
        <w:textAlignment w:val="center"/>
        <w:rPr>
          <w:color w:val="000000"/>
        </w:rPr>
      </w:pPr>
      <w:r>
        <w:rPr>
          <w:rFonts w:ascii="楷体" w:hAnsi="楷体" w:eastAsia="楷体" w:cs="楷体"/>
          <w:color w:val="000000"/>
        </w:rPr>
        <w:t>距今约</w:t>
      </w:r>
      <w:r>
        <w:rPr>
          <w:rFonts w:ascii="Times New Roman" w:hAnsi="Times New Roman" w:eastAsia="Times New Roman" w:cs="Times New Roman"/>
          <w:color w:val="000000"/>
        </w:rPr>
        <w:t>3000</w:t>
      </w:r>
      <w:r>
        <w:rPr>
          <w:rFonts w:ascii="楷体" w:hAnsi="楷体" w:eastAsia="楷体" w:cs="楷体"/>
          <w:color w:val="000000"/>
        </w:rPr>
        <w:t>年前的金沙遗址（</w:t>
      </w:r>
      <w:r>
        <w:rPr>
          <w:rFonts w:ascii="Times New Roman" w:hAnsi="Times New Roman" w:eastAsia="Times New Roman" w:cs="Times New Roman"/>
          <w:color w:val="000000"/>
        </w:rPr>
        <w:t>30</w:t>
      </w:r>
      <w:r>
        <w:rPr>
          <w:rFonts w:ascii="楷体" w:hAnsi="楷体" w:eastAsia="楷体" w:cs="楷体"/>
          <w:color w:val="000000"/>
        </w:rPr>
        <w:t>°</w:t>
      </w:r>
      <w:r>
        <w:rPr>
          <w:rFonts w:ascii="Times New Roman" w:hAnsi="Times New Roman" w:eastAsia="Times New Roman" w:cs="Times New Roman"/>
          <w:color w:val="000000"/>
        </w:rPr>
        <w:t>41</w:t>
      </w:r>
      <w:r>
        <w:rPr>
          <w:rFonts w:ascii="楷体" w:hAnsi="楷体" w:eastAsia="楷体" w:cs="楷体"/>
          <w:color w:val="000000"/>
        </w:rPr>
        <w:t>＇</w:t>
      </w:r>
      <w:r>
        <w:rPr>
          <w:rFonts w:ascii="Times New Roman" w:hAnsi="Times New Roman" w:eastAsia="Times New Roman" w:cs="Times New Roman"/>
          <w:color w:val="000000"/>
        </w:rPr>
        <w:t>N</w:t>
      </w:r>
      <w:r>
        <w:rPr>
          <w:rFonts w:ascii="楷体" w:hAnsi="楷体" w:eastAsia="楷体" w:cs="楷体"/>
          <w:color w:val="000000"/>
        </w:rPr>
        <w:t>，</w:t>
      </w:r>
      <w:r>
        <w:rPr>
          <w:rFonts w:ascii="Times New Roman" w:hAnsi="Times New Roman" w:eastAsia="Times New Roman" w:cs="Times New Roman"/>
          <w:color w:val="000000"/>
        </w:rPr>
        <w:t>104</w:t>
      </w:r>
      <w:r>
        <w:rPr>
          <w:rFonts w:ascii="楷体" w:hAnsi="楷体" w:eastAsia="楷体" w:cs="楷体"/>
          <w:color w:val="000000"/>
        </w:rPr>
        <w:t>°</w:t>
      </w:r>
      <w:r>
        <w:rPr>
          <w:rFonts w:ascii="Times New Roman" w:hAnsi="Times New Roman" w:eastAsia="Times New Roman" w:cs="Times New Roman"/>
          <w:color w:val="000000"/>
        </w:rPr>
        <w:t>01</w:t>
      </w:r>
      <w:r>
        <w:rPr>
          <w:rFonts w:ascii="楷体" w:hAnsi="楷体" w:eastAsia="楷体" w:cs="楷体"/>
          <w:color w:val="000000"/>
        </w:rPr>
        <w:t>＇</w:t>
      </w:r>
      <w:r>
        <w:rPr>
          <w:rFonts w:ascii="Times New Roman" w:hAnsi="Times New Roman" w:eastAsia="Times New Roman" w:cs="Times New Roman"/>
          <w:color w:val="000000"/>
        </w:rPr>
        <w:t>E</w:t>
      </w:r>
      <w:r>
        <w:rPr>
          <w:rFonts w:ascii="楷体" w:hAnsi="楷体" w:eastAsia="楷体" w:cs="楷体"/>
          <w:color w:val="000000"/>
        </w:rPr>
        <w:t>）是古蜀国时期的一处大型聚落遗址。在该遗址祭祀区的东部，有一处九柱建筑基址，其</w:t>
      </w:r>
      <w:r>
        <w:rPr>
          <w:rFonts w:ascii="Times New Roman" w:hAnsi="Times New Roman" w:eastAsia="Times New Roman" w:cs="Times New Roman"/>
          <w:color w:val="000000"/>
        </w:rPr>
        <w:t>9</w:t>
      </w:r>
      <w:r>
        <w:rPr>
          <w:rFonts w:ascii="楷体" w:hAnsi="楷体" w:eastAsia="楷体" w:cs="楷体"/>
          <w:color w:val="000000"/>
        </w:rPr>
        <w:t>个柱洞呈</w:t>
      </w:r>
      <w:r>
        <w:rPr>
          <w:rFonts w:ascii="Times New Roman" w:hAnsi="Times New Roman" w:eastAsia="Times New Roman" w:cs="Times New Roman"/>
          <w:color w:val="000000"/>
        </w:rPr>
        <w:t>“</w:t>
      </w:r>
      <w:r>
        <w:rPr>
          <w:rFonts w:ascii="楷体" w:hAnsi="楷体" w:eastAsia="楷体" w:cs="楷体"/>
          <w:color w:val="000000"/>
        </w:rPr>
        <w:t>田</w:t>
      </w:r>
      <w:r>
        <w:rPr>
          <w:rFonts w:ascii="Times New Roman" w:hAnsi="Times New Roman" w:eastAsia="Times New Roman" w:cs="Times New Roman"/>
          <w:color w:val="000000"/>
        </w:rPr>
        <w:t>”</w:t>
      </w:r>
      <w:r>
        <w:rPr>
          <w:rFonts w:ascii="楷体" w:hAnsi="楷体" w:eastAsia="楷体" w:cs="楷体"/>
          <w:color w:val="000000"/>
        </w:rPr>
        <w:t>字形分布。研究发现，这些柱洞分布具有一定的天文属性。左图为九柱建筑的复原示意图；右图示意该建筑柱洞平面分布及当时冬至日的日出方位。据此完成下面小题。</w:t>
      </w:r>
    </w:p>
    <w:p w14:paraId="593FE7E9">
      <w:pPr>
        <w:spacing w:line="360" w:lineRule="auto"/>
        <w:jc w:val="both"/>
        <w:textAlignment w:val="center"/>
        <w:rPr>
          <w:color w:val="000000"/>
        </w:rPr>
      </w:pPr>
      <w:r>
        <w:rPr>
          <w:color w:val="000000"/>
        </w:rPr>
        <w:drawing>
          <wp:inline distT="0" distB="0" distL="114300" distR="114300">
            <wp:extent cx="1981200" cy="20859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981200" cy="2085975"/>
                    </a:xfrm>
                    <a:prstGeom prst="rect">
                      <a:avLst/>
                    </a:prstGeom>
                  </pic:spPr>
                </pic:pic>
              </a:graphicData>
            </a:graphic>
          </wp:inline>
        </w:drawing>
      </w:r>
      <w:r>
        <w:rPr>
          <w:color w:val="000000"/>
        </w:rPr>
        <w:drawing>
          <wp:inline distT="0" distB="0" distL="114300" distR="114300">
            <wp:extent cx="4029075" cy="19716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029075" cy="1971675"/>
                    </a:xfrm>
                    <a:prstGeom prst="rect">
                      <a:avLst/>
                    </a:prstGeom>
                  </pic:spPr>
                </pic:pic>
              </a:graphicData>
            </a:graphic>
          </wp:inline>
        </w:drawing>
      </w:r>
    </w:p>
    <w:p w14:paraId="4F07C054">
      <w:pPr>
        <w:spacing w:line="360" w:lineRule="auto"/>
        <w:jc w:val="left"/>
        <w:textAlignment w:val="center"/>
        <w:rPr>
          <w:color w:val="000000"/>
        </w:rPr>
      </w:pPr>
      <w:r>
        <w:rPr>
          <w:color w:val="000000"/>
        </w:rPr>
        <w:t xml:space="preserve">15. </w:t>
      </w:r>
      <w:r>
        <w:rPr>
          <w:rFonts w:ascii="宋体" w:hAnsi="宋体" w:eastAsia="宋体" w:cs="宋体"/>
          <w:color w:val="000000"/>
        </w:rPr>
        <w:t>如果当时祭祀人员站在右图中</w:t>
      </w:r>
      <w:r>
        <w:rPr>
          <w:rFonts w:ascii="宋体" w:hAnsi="宋体" w:eastAsia="宋体" w:cs="宋体"/>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Times New Roman" w:hAnsi="Times New Roman" w:eastAsia="Times New Roman" w:cs="Times New Roman"/>
          <w:color w:val="000000"/>
        </w:rPr>
        <w:t>D5</w:t>
      </w:r>
      <w:r>
        <w:rPr>
          <w:rFonts w:ascii="宋体" w:hAnsi="宋体" w:eastAsia="宋体" w:cs="宋体"/>
          <w:color w:val="000000"/>
        </w:rPr>
        <w:t>处，他在夏至日看到的日出方位位于（   ）</w:t>
      </w:r>
    </w:p>
    <w:p w14:paraId="60348086">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D5→D6</w:t>
      </w:r>
      <w:r>
        <w:rPr>
          <w:rFonts w:ascii="宋体" w:hAnsi="宋体" w:eastAsia="宋体" w:cs="宋体"/>
          <w:color w:val="000000"/>
        </w:rPr>
        <w:t>连线方向</w:t>
      </w:r>
      <w:r>
        <w:rPr>
          <w:color w:val="000000"/>
        </w:rPr>
        <w:tab/>
      </w:r>
      <w:r>
        <w:rPr>
          <w:color w:val="000000"/>
        </w:rPr>
        <w:t xml:space="preserve">B. </w:t>
      </w:r>
      <w:r>
        <w:rPr>
          <w:rFonts w:ascii="Times New Roman" w:hAnsi="Times New Roman" w:eastAsia="Times New Roman" w:cs="Times New Roman"/>
          <w:color w:val="000000"/>
        </w:rPr>
        <w:t>D6</w:t>
      </w:r>
      <w:r>
        <w:rPr>
          <w:rFonts w:ascii="宋体" w:hAnsi="宋体" w:eastAsia="宋体" w:cs="宋体"/>
          <w:color w:val="000000"/>
        </w:rPr>
        <w:t>和</w:t>
      </w:r>
      <w:r>
        <w:rPr>
          <w:rFonts w:ascii="Times New Roman" w:hAnsi="Times New Roman" w:eastAsia="Times New Roman" w:cs="Times New Roman"/>
          <w:color w:val="000000"/>
        </w:rPr>
        <w:t>D9</w:t>
      </w:r>
      <w:r>
        <w:rPr>
          <w:rFonts w:ascii="宋体" w:hAnsi="宋体" w:eastAsia="宋体" w:cs="宋体"/>
          <w:color w:val="000000"/>
        </w:rPr>
        <w:t>之间</w:t>
      </w:r>
    </w:p>
    <w:p w14:paraId="66F91E37">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D5→D9</w:t>
      </w:r>
      <w:r>
        <w:rPr>
          <w:rFonts w:ascii="宋体" w:hAnsi="宋体" w:eastAsia="宋体" w:cs="宋体"/>
          <w:color w:val="000000"/>
        </w:rPr>
        <w:t>连线方向</w:t>
      </w:r>
      <w:r>
        <w:rPr>
          <w:color w:val="000000"/>
        </w:rPr>
        <w:tab/>
      </w:r>
      <w:r>
        <w:rPr>
          <w:color w:val="000000"/>
        </w:rPr>
        <w:t xml:space="preserve">D. </w:t>
      </w:r>
      <w:r>
        <w:rPr>
          <w:rFonts w:ascii="Times New Roman" w:hAnsi="Times New Roman" w:eastAsia="Times New Roman" w:cs="Times New Roman"/>
          <w:color w:val="000000"/>
        </w:rPr>
        <w:t>D8</w:t>
      </w:r>
      <w:r>
        <w:rPr>
          <w:rFonts w:ascii="宋体" w:hAnsi="宋体" w:eastAsia="宋体" w:cs="宋体"/>
          <w:color w:val="000000"/>
        </w:rPr>
        <w:t>和</w:t>
      </w:r>
      <w:r>
        <w:rPr>
          <w:rFonts w:ascii="Times New Roman" w:hAnsi="Times New Roman" w:eastAsia="Times New Roman" w:cs="Times New Roman"/>
          <w:color w:val="000000"/>
        </w:rPr>
        <w:t>D9</w:t>
      </w:r>
      <w:r>
        <w:rPr>
          <w:rFonts w:ascii="宋体" w:hAnsi="宋体" w:eastAsia="宋体" w:cs="宋体"/>
          <w:color w:val="000000"/>
        </w:rPr>
        <w:t>之间</w:t>
      </w:r>
    </w:p>
    <w:p w14:paraId="747C272D">
      <w:pPr>
        <w:spacing w:line="360" w:lineRule="auto"/>
        <w:jc w:val="left"/>
        <w:textAlignment w:val="center"/>
        <w:rPr>
          <w:color w:val="000000"/>
        </w:rPr>
      </w:pPr>
      <w:r>
        <w:rPr>
          <w:color w:val="000000"/>
        </w:rPr>
        <w:t xml:space="preserve">16. </w:t>
      </w:r>
      <w:r>
        <w:rPr>
          <w:rFonts w:ascii="宋体" w:hAnsi="宋体" w:eastAsia="宋体" w:cs="宋体"/>
          <w:color w:val="000000"/>
        </w:rPr>
        <w:t>已知</w:t>
      </w:r>
      <w:r>
        <w:rPr>
          <w:rFonts w:ascii="Times New Roman" w:hAnsi="Times New Roman" w:eastAsia="Times New Roman" w:cs="Times New Roman"/>
          <w:color w:val="000000"/>
        </w:rPr>
        <w:t>3000</w:t>
      </w:r>
      <w:r>
        <w:rPr>
          <w:rFonts w:ascii="宋体" w:hAnsi="宋体" w:eastAsia="宋体" w:cs="宋体"/>
          <w:color w:val="000000"/>
        </w:rPr>
        <w:t>年前的黄赤交角比现今大，与现在遗址地居民相比，则当时金沙先民在（   ）</w:t>
      </w:r>
    </w:p>
    <w:p w14:paraId="713291E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春分日看到日出时间更早</w:t>
      </w:r>
      <w:r>
        <w:rPr>
          <w:color w:val="000000"/>
        </w:rPr>
        <w:tab/>
      </w:r>
      <w:r>
        <w:rPr>
          <w:color w:val="000000"/>
        </w:rPr>
        <w:t xml:space="preserve">B. </w:t>
      </w:r>
      <w:r>
        <w:rPr>
          <w:rFonts w:ascii="宋体" w:hAnsi="宋体" w:eastAsia="宋体" w:cs="宋体"/>
          <w:color w:val="000000"/>
        </w:rPr>
        <w:t>夏至日经历更长的夜长</w:t>
      </w:r>
    </w:p>
    <w:p w14:paraId="1A96EA5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秋分日看到日落时间更晚</w:t>
      </w:r>
      <w:r>
        <w:rPr>
          <w:color w:val="000000"/>
        </w:rPr>
        <w:tab/>
      </w:r>
      <w:r>
        <w:rPr>
          <w:color w:val="000000"/>
        </w:rPr>
        <w:t xml:space="preserve">D. </w:t>
      </w:r>
      <w:r>
        <w:rPr>
          <w:rFonts w:ascii="宋体" w:hAnsi="宋体" w:eastAsia="宋体" w:cs="宋体"/>
          <w:color w:val="000000"/>
        </w:rPr>
        <w:t>冬至日经历更短的昼长</w:t>
      </w:r>
    </w:p>
    <w:p w14:paraId="4DE09A5A">
      <w:pPr>
        <w:spacing w:line="285" w:lineRule="auto"/>
        <w:jc w:val="both"/>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52</w:t>
      </w:r>
      <w:r>
        <w:rPr>
          <w:rFonts w:ascii="宋体" w:hAnsi="宋体" w:eastAsia="宋体" w:cs="宋体"/>
          <w:b/>
          <w:color w:val="000000"/>
          <w:sz w:val="24"/>
        </w:rPr>
        <w:t>分。考生根据要求作答。</w:t>
      </w:r>
    </w:p>
    <w:p w14:paraId="3FC53E34">
      <w:pPr>
        <w:spacing w:line="360" w:lineRule="auto"/>
        <w:jc w:val="both"/>
        <w:textAlignment w:val="center"/>
        <w:rPr>
          <w:color w:val="000000"/>
        </w:rPr>
      </w:pPr>
      <w:r>
        <w:rPr>
          <w:color w:val="000000"/>
        </w:rPr>
        <w:t xml:space="preserve">17. </w:t>
      </w:r>
      <w:r>
        <w:rPr>
          <w:rFonts w:ascii="宋体" w:hAnsi="宋体" w:eastAsia="宋体" w:cs="宋体"/>
          <w:color w:val="000000"/>
        </w:rPr>
        <w:t>阅读图文资料，完成下列要求</w:t>
      </w:r>
      <w:r>
        <w:rPr>
          <w:rFonts w:ascii="宋体" w:hAnsi="宋体" w:eastAsia="宋体" w:cs="宋体"/>
          <w:color w:val="000000"/>
          <w:position w:val="-12"/>
        </w:rPr>
        <w:drawing>
          <wp:inline distT="0" distB="0" distL="114300" distR="114300">
            <wp:extent cx="127000" cy="762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21"/>
                    <a:stretch>
                      <a:fillRect/>
                    </a:stretch>
                  </pic:blipFill>
                  <pic:spPr>
                    <a:xfrm>
                      <a:off x="0" y="0"/>
                      <a:ext cx="127000" cy="76200"/>
                    </a:xfrm>
                    <a:prstGeom prst="rect">
                      <a:avLst/>
                    </a:prstGeom>
                  </pic:spPr>
                </pic:pic>
              </a:graphicData>
            </a:graphic>
          </wp:inline>
        </w:drawing>
      </w:r>
    </w:p>
    <w:p w14:paraId="3CC16949">
      <w:pPr>
        <w:spacing w:line="360" w:lineRule="auto"/>
        <w:ind w:firstLine="420"/>
        <w:jc w:val="both"/>
        <w:textAlignment w:val="center"/>
        <w:rPr>
          <w:color w:val="000000"/>
        </w:rPr>
      </w:pPr>
      <w:r>
        <w:rPr>
          <w:rFonts w:ascii="楷体" w:hAnsi="楷体" w:eastAsia="楷体" w:cs="楷体"/>
          <w:color w:val="000000"/>
        </w:rPr>
        <w:t>辽宁省大连市的松木岛化工园区距主城区约60km，占地面积35km</w:t>
      </w:r>
      <w:r>
        <w:rPr>
          <w:color w:val="000000"/>
          <w:vertAlign w:val="superscript"/>
        </w:rPr>
        <w:t>2</w:t>
      </w:r>
      <w:r>
        <w:rPr>
          <w:rFonts w:ascii="楷体" w:hAnsi="楷体" w:eastAsia="楷体" w:cs="楷体"/>
          <w:color w:val="000000"/>
        </w:rPr>
        <w:t>，2005年，该园区开始承接大连市的化工企业转移，2016年被纳入国家级新区——大连金普新区。该园区大部分职工通勤于工作地与主城区之间，呈现职住分离现象。紧邻松木岛化工园区的S村，目前户籍人口约3800人，常住人口约2300人，村民的主要收入来源于种植业、渔业、废弃物循环利用产业及外出务工。如图示意松木岛化工园区及S村地理位置。</w:t>
      </w:r>
    </w:p>
    <w:p w14:paraId="76E77D65">
      <w:pPr>
        <w:spacing w:line="360" w:lineRule="auto"/>
        <w:jc w:val="both"/>
        <w:textAlignment w:val="center"/>
        <w:rPr>
          <w:color w:val="000000"/>
        </w:rPr>
      </w:pPr>
      <w:r>
        <w:rPr>
          <w:color w:val="000000"/>
        </w:rPr>
        <w:drawing>
          <wp:inline distT="0" distB="0" distL="114300" distR="114300">
            <wp:extent cx="5238750" cy="3261360"/>
            <wp:effectExtent l="0" t="0" r="0" b="1524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3261606"/>
                    </a:xfrm>
                    <a:prstGeom prst="rect">
                      <a:avLst/>
                    </a:prstGeom>
                  </pic:spPr>
                </pic:pic>
              </a:graphicData>
            </a:graphic>
          </wp:inline>
        </w:drawing>
      </w:r>
    </w:p>
    <w:p w14:paraId="2A04577B">
      <w:pPr>
        <w:spacing w:line="360" w:lineRule="auto"/>
        <w:jc w:val="left"/>
        <w:textAlignment w:val="center"/>
        <w:rPr>
          <w:color w:val="000000"/>
        </w:rPr>
      </w:pPr>
      <w:r>
        <w:rPr>
          <w:color w:val="000000"/>
        </w:rPr>
        <w:t>（1）</w:t>
      </w:r>
      <w:r>
        <w:rPr>
          <w:rFonts w:ascii="宋体" w:hAnsi="宋体" w:eastAsia="宋体" w:cs="宋体"/>
          <w:color w:val="000000"/>
        </w:rPr>
        <w:t>简述松木岛化工园区承接大连市的化工企业转移的有利区位条件。</w:t>
      </w:r>
    </w:p>
    <w:p w14:paraId="3B1B62DE">
      <w:pPr>
        <w:spacing w:line="360" w:lineRule="auto"/>
        <w:jc w:val="left"/>
        <w:textAlignment w:val="center"/>
        <w:rPr>
          <w:color w:val="000000"/>
        </w:rPr>
      </w:pPr>
      <w:r>
        <w:rPr>
          <w:color w:val="000000"/>
        </w:rPr>
        <w:t>（2）</w:t>
      </w:r>
      <w:r>
        <w:rPr>
          <w:rFonts w:ascii="宋体" w:hAnsi="宋体" w:eastAsia="宋体" w:cs="宋体"/>
          <w:color w:val="000000"/>
        </w:rPr>
        <w:t>结合</w:t>
      </w:r>
      <w:r>
        <w:rPr>
          <w:rFonts w:ascii="Times New Roman" w:hAnsi="Times New Roman" w:eastAsia="Times New Roman" w:cs="Times New Roman"/>
          <w:color w:val="000000"/>
        </w:rPr>
        <w:t>S</w:t>
      </w:r>
      <w:r>
        <w:rPr>
          <w:rFonts w:ascii="宋体" w:hAnsi="宋体" w:eastAsia="宋体" w:cs="宋体"/>
          <w:color w:val="000000"/>
        </w:rPr>
        <w:t>村村民主要收入来源，提出该园区帮扶该村经济发展的有效措施。</w:t>
      </w:r>
    </w:p>
    <w:p w14:paraId="32F1263B">
      <w:pPr>
        <w:spacing w:line="360" w:lineRule="auto"/>
        <w:jc w:val="left"/>
        <w:textAlignment w:val="center"/>
        <w:rPr>
          <w:color w:val="000000"/>
        </w:rPr>
      </w:pPr>
      <w:r>
        <w:rPr>
          <w:color w:val="000000"/>
        </w:rPr>
        <w:t>（3）</w:t>
      </w:r>
      <w:r>
        <w:rPr>
          <w:rFonts w:ascii="宋体" w:hAnsi="宋体" w:eastAsia="宋体" w:cs="宋体"/>
          <w:color w:val="000000"/>
        </w:rPr>
        <w:t>为解决职工的职住分离问题，该园区拟在</w:t>
      </w:r>
      <w:r>
        <w:rPr>
          <w:rFonts w:ascii="Times New Roman" w:hAnsi="Times New Roman" w:eastAsia="Times New Roman" w:cs="Times New Roman"/>
          <w:color w:val="000000"/>
        </w:rPr>
        <w:t>S</w:t>
      </w:r>
      <w:r>
        <w:rPr>
          <w:rFonts w:ascii="宋体" w:hAnsi="宋体" w:eastAsia="宋体" w:cs="宋体"/>
          <w:color w:val="000000"/>
        </w:rPr>
        <w:t>村的甲、乙两地建设职工生活区。分析这两地居住环境的优劣。</w:t>
      </w:r>
    </w:p>
    <w:p w14:paraId="62AE2D8B">
      <w:pPr>
        <w:spacing w:line="360" w:lineRule="auto"/>
        <w:jc w:val="both"/>
        <w:textAlignment w:val="center"/>
        <w:rPr>
          <w:color w:val="000000"/>
        </w:rPr>
      </w:pPr>
      <w:r>
        <w:rPr>
          <w:color w:val="000000"/>
        </w:rPr>
        <w:t xml:space="preserve">18. </w:t>
      </w:r>
      <w:r>
        <w:rPr>
          <w:rFonts w:ascii="宋体" w:hAnsi="宋体" w:eastAsia="宋体" w:cs="宋体"/>
          <w:color w:val="000000"/>
        </w:rPr>
        <w:t>阅读图文资料，完成下列要求。</w:t>
      </w:r>
    </w:p>
    <w:p w14:paraId="5E8BE0D0">
      <w:pPr>
        <w:spacing w:line="360" w:lineRule="auto"/>
        <w:ind w:firstLine="420"/>
        <w:jc w:val="both"/>
        <w:textAlignment w:val="center"/>
        <w:rPr>
          <w:color w:val="000000"/>
        </w:rPr>
      </w:pPr>
      <w:r>
        <w:rPr>
          <w:rFonts w:ascii="楷体" w:hAnsi="楷体" w:eastAsia="楷体" w:cs="楷体"/>
          <w:color w:val="000000"/>
        </w:rPr>
        <w:t>针对干旱区煤矿采空区治理和水资源短缺等问题，我国学者提出利用采空区建设地下水库的建议。</w:t>
      </w:r>
      <w:r>
        <w:rPr>
          <w:rFonts w:ascii="Times New Roman" w:hAnsi="Times New Roman" w:eastAsia="Times New Roman" w:cs="Times New Roman"/>
          <w:color w:val="000000"/>
        </w:rPr>
        <w:t>M</w:t>
      </w:r>
      <w:r>
        <w:rPr>
          <w:rFonts w:ascii="楷体" w:hAnsi="楷体" w:eastAsia="楷体" w:cs="楷体"/>
          <w:color w:val="000000"/>
        </w:rPr>
        <w:t>煤矿矿区位于晋陕蒙交界地带，属温带大陆性季风气候，地下水资源丰富。该煤矿经过多年开采，已形成采空区。调查发现，该采空区水体中含有来自地表的污染物。图示意</w:t>
      </w:r>
      <w:r>
        <w:rPr>
          <w:rFonts w:ascii="Times New Roman" w:hAnsi="Times New Roman" w:eastAsia="Times New Roman" w:cs="Times New Roman"/>
          <w:color w:val="000000"/>
        </w:rPr>
        <w:t>M</w:t>
      </w:r>
      <w:r>
        <w:rPr>
          <w:rFonts w:ascii="楷体" w:hAnsi="楷体" w:eastAsia="楷体" w:cs="楷体"/>
          <w:color w:val="000000"/>
        </w:rPr>
        <w:t>煤矿采空区及地层剖面。</w:t>
      </w:r>
    </w:p>
    <w:p w14:paraId="7CF569F2">
      <w:pPr>
        <w:spacing w:line="360" w:lineRule="auto"/>
        <w:jc w:val="both"/>
        <w:textAlignment w:val="center"/>
        <w:rPr>
          <w:color w:val="000000"/>
        </w:rPr>
      </w:pPr>
      <w:r>
        <w:rPr>
          <w:color w:val="000000"/>
        </w:rPr>
        <w:drawing>
          <wp:inline distT="0" distB="0" distL="114300" distR="114300">
            <wp:extent cx="3943350" cy="24765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943350" cy="2476500"/>
                    </a:xfrm>
                    <a:prstGeom prst="rect">
                      <a:avLst/>
                    </a:prstGeom>
                  </pic:spPr>
                </pic:pic>
              </a:graphicData>
            </a:graphic>
          </wp:inline>
        </w:drawing>
      </w:r>
    </w:p>
    <w:p w14:paraId="629694DA">
      <w:pPr>
        <w:spacing w:line="360" w:lineRule="auto"/>
        <w:jc w:val="left"/>
        <w:textAlignment w:val="center"/>
        <w:rPr>
          <w:color w:val="000000"/>
        </w:rPr>
      </w:pPr>
      <w:r>
        <w:rPr>
          <w:color w:val="000000"/>
        </w:rPr>
        <w:t>（1）</w:t>
      </w:r>
      <w:r>
        <w:rPr>
          <w:rFonts w:ascii="宋体" w:hAnsi="宋体" w:eastAsia="宋体" w:cs="宋体"/>
          <w:color w:val="000000"/>
        </w:rPr>
        <w:t>简述</w:t>
      </w:r>
      <w:r>
        <w:rPr>
          <w:rFonts w:ascii="Times New Roman" w:hAnsi="Times New Roman" w:eastAsia="Times New Roman" w:cs="Times New Roman"/>
          <w:color w:val="000000"/>
        </w:rPr>
        <w:t>M</w:t>
      </w:r>
      <w:r>
        <w:rPr>
          <w:rFonts w:ascii="宋体" w:hAnsi="宋体" w:eastAsia="宋体" w:cs="宋体"/>
          <w:color w:val="000000"/>
        </w:rPr>
        <w:t>煤矿矿区地表污染物进入采空区水体的自然地理过程。</w:t>
      </w:r>
    </w:p>
    <w:p w14:paraId="38AC31C3">
      <w:pPr>
        <w:spacing w:line="360" w:lineRule="auto"/>
        <w:jc w:val="left"/>
        <w:textAlignment w:val="center"/>
        <w:rPr>
          <w:color w:val="000000"/>
        </w:rPr>
      </w:pPr>
      <w:r>
        <w:rPr>
          <w:color w:val="000000"/>
        </w:rPr>
        <w:t>（2）</w:t>
      </w:r>
      <w:r>
        <w:rPr>
          <w:rFonts w:ascii="宋体" w:hAnsi="宋体" w:eastAsia="宋体" w:cs="宋体"/>
          <w:color w:val="000000"/>
        </w:rPr>
        <w:t>分析在</w:t>
      </w:r>
      <w:r>
        <w:rPr>
          <w:rFonts w:ascii="Times New Roman" w:hAnsi="Times New Roman" w:eastAsia="Times New Roman" w:cs="Times New Roman"/>
          <w:color w:val="000000"/>
        </w:rPr>
        <w:t>M</w:t>
      </w:r>
      <w:r>
        <w:rPr>
          <w:rFonts w:ascii="宋体" w:hAnsi="宋体" w:eastAsia="宋体" w:cs="宋体"/>
          <w:color w:val="000000"/>
        </w:rPr>
        <w:t>煤矿采空区建设地下水库的意义。</w:t>
      </w:r>
    </w:p>
    <w:p w14:paraId="70E3DF04">
      <w:pPr>
        <w:spacing w:line="360" w:lineRule="auto"/>
        <w:jc w:val="both"/>
        <w:textAlignment w:val="center"/>
        <w:rPr>
          <w:color w:val="000000"/>
        </w:rPr>
      </w:pPr>
      <w:r>
        <w:rPr>
          <w:color w:val="000000"/>
        </w:rPr>
        <w:t xml:space="preserve">19. </w:t>
      </w:r>
      <w:r>
        <w:rPr>
          <w:rFonts w:ascii="宋体" w:hAnsi="宋体" w:eastAsia="宋体" w:cs="宋体"/>
          <w:color w:val="000000"/>
        </w:rPr>
        <w:t>阅读图文资料，完成下列要求。</w:t>
      </w:r>
    </w:p>
    <w:p w14:paraId="7DABA388">
      <w:pPr>
        <w:spacing w:line="360" w:lineRule="auto"/>
        <w:ind w:firstLine="420"/>
        <w:jc w:val="both"/>
        <w:textAlignment w:val="center"/>
        <w:rPr>
          <w:color w:val="000000"/>
        </w:rPr>
      </w:pPr>
      <w:r>
        <w:rPr>
          <w:rFonts w:ascii="楷体" w:hAnsi="楷体" w:eastAsia="楷体" w:cs="楷体"/>
          <w:color w:val="000000"/>
        </w:rPr>
        <w:t>当气温下降，湿度上升时，硫硝钠会吸水形成芒硝，使得裂隙中的容积增大；当气温上升，湿度下降时，会芒硝脱水产生反硝化。四川仁寿县牛角寨为亚热带季风气候，在岩石表层紫色砂岩以及雕刻石像（牛角寨大佛）的裂缝中均发现了硫酸钠。</w:t>
      </w:r>
    </w:p>
    <w:p w14:paraId="06B092BB">
      <w:pPr>
        <w:spacing w:line="360" w:lineRule="auto"/>
        <w:jc w:val="both"/>
        <w:textAlignment w:val="center"/>
        <w:rPr>
          <w:color w:val="000000"/>
        </w:rPr>
      </w:pPr>
      <w:r>
        <w:rPr>
          <w:color w:val="000000"/>
        </w:rPr>
        <w:drawing>
          <wp:inline distT="0" distB="0" distL="114300" distR="114300">
            <wp:extent cx="3267075" cy="10096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267075" cy="1009650"/>
                    </a:xfrm>
                    <a:prstGeom prst="rect">
                      <a:avLst/>
                    </a:prstGeom>
                  </pic:spPr>
                </pic:pic>
              </a:graphicData>
            </a:graphic>
          </wp:inline>
        </w:drawing>
      </w:r>
    </w:p>
    <w:p w14:paraId="61169F51">
      <w:pPr>
        <w:spacing w:line="360" w:lineRule="auto"/>
        <w:jc w:val="both"/>
        <w:textAlignment w:val="center"/>
        <w:rPr>
          <w:color w:val="000000"/>
        </w:rPr>
      </w:pPr>
      <w:r>
        <w:rPr>
          <w:color w:val="000000"/>
        </w:rPr>
        <w:drawing>
          <wp:inline distT="0" distB="0" distL="114300" distR="114300">
            <wp:extent cx="3200400" cy="28194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200400" cy="2819400"/>
                    </a:xfrm>
                    <a:prstGeom prst="rect">
                      <a:avLst/>
                    </a:prstGeom>
                  </pic:spPr>
                </pic:pic>
              </a:graphicData>
            </a:graphic>
          </wp:inline>
        </w:drawing>
      </w:r>
    </w:p>
    <w:p w14:paraId="2338AA3B">
      <w:pPr>
        <w:spacing w:line="360" w:lineRule="auto"/>
        <w:jc w:val="left"/>
        <w:textAlignment w:val="center"/>
        <w:rPr>
          <w:color w:val="000000"/>
        </w:rPr>
      </w:pPr>
      <w:r>
        <w:rPr>
          <w:color w:val="000000"/>
        </w:rPr>
        <w:t>（1）</w:t>
      </w:r>
      <w:r>
        <w:rPr>
          <w:rFonts w:ascii="宋体" w:hAnsi="宋体" w:eastAsia="宋体" w:cs="宋体"/>
          <w:color w:val="000000"/>
        </w:rPr>
        <w:t>说明甲、乙两区域的地质构造及地层年代特征，并据此判断甲、乙哪个区域的地表剥蚀作用更强</w:t>
      </w:r>
    </w:p>
    <w:p w14:paraId="534CC39B">
      <w:pPr>
        <w:spacing w:line="360" w:lineRule="auto"/>
        <w:jc w:val="left"/>
        <w:textAlignment w:val="center"/>
        <w:rPr>
          <w:color w:val="000000"/>
        </w:rPr>
      </w:pPr>
      <w:r>
        <w:rPr>
          <w:color w:val="000000"/>
        </w:rPr>
        <w:t>（2）</w:t>
      </w:r>
      <w:r>
        <w:rPr>
          <w:rFonts w:ascii="宋体" w:hAnsi="宋体" w:eastAsia="宋体" w:cs="宋体"/>
          <w:color w:val="000000"/>
        </w:rPr>
        <w:t>根据硝化与反硝化的条件，说明</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ii</w:t>
      </w:r>
      <w:r>
        <w:rPr>
          <w:rFonts w:ascii="宋体" w:hAnsi="宋体" w:eastAsia="宋体" w:cs="宋体"/>
          <w:color w:val="000000"/>
        </w:rPr>
        <w:t>、</w:t>
      </w:r>
      <w:r>
        <w:rPr>
          <w:rFonts w:ascii="Times New Roman" w:hAnsi="Times New Roman" w:eastAsia="Times New Roman" w:cs="Times New Roman"/>
          <w:color w:val="000000"/>
        </w:rPr>
        <w:t>iii</w:t>
      </w:r>
      <w:r>
        <w:rPr>
          <w:rFonts w:ascii="宋体" w:hAnsi="宋体" w:eastAsia="宋体" w:cs="宋体"/>
          <w:color w:val="000000"/>
        </w:rPr>
        <w:t>阶段硫酸钠的分别变化</w:t>
      </w:r>
    </w:p>
    <w:p w14:paraId="36550E6F">
      <w:pPr>
        <w:spacing w:line="360" w:lineRule="auto"/>
        <w:jc w:val="left"/>
        <w:textAlignment w:val="center"/>
        <w:rPr>
          <w:color w:val="000000"/>
        </w:rPr>
      </w:pPr>
      <w:r>
        <w:rPr>
          <w:color w:val="000000"/>
        </w:rPr>
        <w:t>（3）</w:t>
      </w:r>
      <w:r>
        <w:rPr>
          <w:rFonts w:ascii="宋体" w:hAnsi="宋体" w:eastAsia="宋体" w:cs="宋体"/>
          <w:color w:val="000000"/>
        </w:rPr>
        <w:t>结合当地的气候条件，分析裂缝中硫酸钠对雕刻石像（牛角寨大佛）的影响</w:t>
      </w:r>
    </w:p>
    <w:p w14:paraId="530B430F">
      <w:pPr>
        <w:spacing w:line="360" w:lineRule="auto"/>
        <w:jc w:val="both"/>
        <w:textAlignment w:val="center"/>
        <w:rPr>
          <w:color w:val="000000"/>
        </w:rPr>
      </w:pPr>
    </w:p>
    <w:p w14:paraId="0D543FAD">
      <w:pPr>
        <w:spacing w:line="360" w:lineRule="auto"/>
        <w:jc w:val="left"/>
        <w:textAlignment w:val="center"/>
        <w:rPr>
          <w:color w:val="000000"/>
        </w:rPr>
      </w:pPr>
      <w:r>
        <w:rPr>
          <w:color w:val="000000"/>
        </w:rPr>
        <w:br w:type="textWrapping"/>
      </w:r>
    </w:p>
    <w:p w14:paraId="5AE73E4C">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E184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58BE2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C9E19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39D09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5314B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CB06F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21167F7"/>
    <w:rsid w:val="38274566"/>
    <w:rsid w:val="4FED6043"/>
    <w:rsid w:val="79986F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7</Pages>
  <Words>3149</Words>
  <Characters>3376</Characters>
  <Lines>0</Lines>
  <Paragraphs>0</Paragraphs>
  <TotalTime>0</TotalTime>
  <ScaleCrop>false</ScaleCrop>
  <LinksUpToDate>false</LinksUpToDate>
  <CharactersWithSpaces>3588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2026-02-10T06:37:00Z</dcterms:created>
  <dc:creator>Administrator</dc:creator>
  <cp:lastModifiedBy>上帝掷骰子吗</cp:lastModifiedBy>
  <dcterms:modified xsi:type="dcterms:W3CDTF">2026-02-10T06:55:38Z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7F2E2EC88D1246F6A656DFECAC5D259F_12</vt:lpwstr>
  </property>
</Properties>
</file>