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BF9F3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10744200</wp:posOffset>
            </wp:positionV>
            <wp:extent cx="457200" cy="393700"/>
            <wp:effectExtent l="0" t="0" r="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年海南省普通高中学业水平选择性考试</w:t>
      </w:r>
    </w:p>
    <w:p w14:paraId="586726F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</w:t>
      </w:r>
    </w:p>
    <w:p w14:paraId="0B3F1994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小题，试卷满分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0B4903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AA8ED8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．答卷前，考生务必先将自己的姓名、考生号、考场号和座位号填写在答题卡上。将条形码横贴在答题卡右上角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“</w:t>
      </w:r>
      <w:r>
        <w:rPr>
          <w:rFonts w:ascii="宋体" w:hAnsi="宋体" w:eastAsia="宋体" w:cs="宋体"/>
          <w:b/>
          <w:color w:val="auto"/>
          <w:sz w:val="24"/>
        </w:rPr>
        <w:t>条形码粘贴处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”</w:t>
      </w:r>
      <w:r>
        <w:rPr>
          <w:rFonts w:ascii="宋体" w:hAnsi="宋体" w:eastAsia="宋体" w:cs="宋体"/>
          <w:b/>
          <w:color w:val="auto"/>
          <w:sz w:val="24"/>
        </w:rPr>
        <w:t>。</w:t>
      </w:r>
    </w:p>
    <w:p w14:paraId="1DD291B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．作答选择题时，选出每小题答案后，用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铅笔把答题卡上对应题目选项的答案信息点涂黑；如需改动，用橡皮擦干净后，再选涂其他答案。答案不能答在试卷上。</w:t>
      </w:r>
    </w:p>
    <w:p w14:paraId="79B0F67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．非选择题必须黑色字迹的钢笔或签字笔作答，答案必须写在答题卡上各题目指定区域内相应位置上。如需改动，先划掉原来的答案，然后再写上新答案；不准使用铅笔和涂改液。不按以上要求作答无效。</w:t>
      </w:r>
    </w:p>
    <w:p w14:paraId="4309D75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．考生必须保持答题卡整洁。考试结束后，将试卷和答题卡一并交回。</w:t>
      </w:r>
    </w:p>
    <w:p w14:paraId="0CAAD53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7EE92DC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下表为</w:t>
      </w:r>
      <w:r>
        <w:rPr>
          <w:rFonts w:ascii="Times New Roman" w:hAnsi="Times New Roman" w:eastAsia="Times New Roman" w:cs="Times New Roman"/>
          <w:color w:val="auto"/>
        </w:rPr>
        <w:t>2008-2020</w:t>
      </w:r>
      <w:r>
        <w:rPr>
          <w:rFonts w:ascii="楷体" w:hAnsi="楷体" w:eastAsia="楷体" w:cs="楷体"/>
          <w:color w:val="auto"/>
        </w:rPr>
        <w:t>年南京市郊某乡村空间土地利用类型的变化情况。据此完成下面小题。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8"/>
        <w:gridCol w:w="1162"/>
        <w:gridCol w:w="6125"/>
      </w:tblGrid>
      <w:tr w14:paraId="721FB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402BD5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时间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FB9C4A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乡村空间</w:t>
            </w:r>
          </w:p>
        </w:tc>
        <w:tc>
          <w:tcPr>
            <w:tcW w:w="6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5D3482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用地类型</w:t>
            </w:r>
          </w:p>
        </w:tc>
      </w:tr>
      <w:tr w14:paraId="5ADC0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0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A42937">
            <w:pPr>
              <w:spacing w:line="36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auto"/>
              </w:rPr>
              <w:t>2008</w:t>
            </w:r>
            <w:r>
              <w:rPr>
                <w:rFonts w:ascii="楷体" w:hAnsi="楷体" w:eastAsia="楷体" w:cs="楷体"/>
                <w:color w:val="auto"/>
              </w:rPr>
              <w:t>年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D6DA5A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传统型</w:t>
            </w:r>
          </w:p>
        </w:tc>
        <w:tc>
          <w:tcPr>
            <w:tcW w:w="6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2344D0">
            <w:pPr>
              <w:spacing w:line="360" w:lineRule="auto"/>
              <w:jc w:val="left"/>
            </w:pPr>
            <w:r>
              <w:rPr>
                <w:rFonts w:ascii="楷体" w:hAnsi="楷体" w:eastAsia="楷体" w:cs="楷体"/>
                <w:color w:val="auto"/>
              </w:rPr>
              <w:t>耕地，养殖坑塘等</w:t>
            </w:r>
          </w:p>
        </w:tc>
      </w:tr>
      <w:tr w14:paraId="7C1E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3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DFE935">
            <w:pPr>
              <w:spacing w:line="360" w:lineRule="auto"/>
              <w:ind w:firstLine="420"/>
              <w:jc w:val="left"/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CAE9C7">
            <w:pPr>
              <w:spacing w:line="360" w:lineRule="auto"/>
              <w:ind w:firstLine="420"/>
              <w:jc w:val="left"/>
            </w:pPr>
          </w:p>
        </w:tc>
        <w:tc>
          <w:tcPr>
            <w:tcW w:w="6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358277">
            <w:pPr>
              <w:spacing w:line="360" w:lineRule="auto"/>
              <w:jc w:val="left"/>
            </w:pPr>
            <w:r>
              <w:rPr>
                <w:rFonts w:ascii="楷体" w:hAnsi="楷体" w:eastAsia="楷体" w:cs="楷体"/>
                <w:color w:val="auto"/>
              </w:rPr>
              <w:t>农村宅基地和公共服务用地等</w:t>
            </w:r>
          </w:p>
        </w:tc>
      </w:tr>
      <w:tr w14:paraId="6A8A8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3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DDB4C7">
            <w:pPr>
              <w:spacing w:line="360" w:lineRule="auto"/>
              <w:ind w:firstLine="420"/>
              <w:jc w:val="left"/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A5D2EB">
            <w:pPr>
              <w:spacing w:line="360" w:lineRule="auto"/>
              <w:ind w:firstLine="420"/>
              <w:jc w:val="left"/>
            </w:pPr>
          </w:p>
        </w:tc>
        <w:tc>
          <w:tcPr>
            <w:tcW w:w="6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A13B3F">
            <w:pPr>
              <w:spacing w:line="360" w:lineRule="auto"/>
              <w:jc w:val="left"/>
            </w:pPr>
            <w:r>
              <w:rPr>
                <w:rFonts w:ascii="楷体" w:hAnsi="楷体" w:eastAsia="楷体" w:cs="楷体"/>
                <w:color w:val="auto"/>
              </w:rPr>
              <w:t>林地，水域等</w:t>
            </w:r>
          </w:p>
        </w:tc>
      </w:tr>
      <w:tr w14:paraId="6D0FA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0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3AC0D5">
            <w:pPr>
              <w:spacing w:line="36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auto"/>
              </w:rPr>
              <w:t>2020</w:t>
            </w:r>
            <w:r>
              <w:rPr>
                <w:rFonts w:ascii="楷体" w:hAnsi="楷体" w:eastAsia="楷体" w:cs="楷体"/>
                <w:color w:val="auto"/>
              </w:rPr>
              <w:t>年</w:t>
            </w:r>
          </w:p>
        </w:tc>
        <w:tc>
          <w:tcPr>
            <w:tcW w:w="11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6CB24D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新型复合型</w:t>
            </w:r>
          </w:p>
        </w:tc>
        <w:tc>
          <w:tcPr>
            <w:tcW w:w="6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BA433A">
            <w:pPr>
              <w:spacing w:line="360" w:lineRule="auto"/>
              <w:jc w:val="left"/>
            </w:pPr>
            <w:r>
              <w:rPr>
                <w:rFonts w:ascii="楷体" w:hAnsi="楷体" w:eastAsia="楷体" w:cs="楷体"/>
                <w:color w:val="auto"/>
              </w:rPr>
              <w:t>家庭式旅游餐饮用地，购物用地，娱乐用地等</w:t>
            </w:r>
          </w:p>
        </w:tc>
      </w:tr>
      <w:tr w14:paraId="33939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3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D85D26">
            <w:pPr>
              <w:spacing w:line="360" w:lineRule="auto"/>
              <w:ind w:firstLine="420"/>
              <w:jc w:val="left"/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1AFB19">
            <w:pPr>
              <w:spacing w:line="360" w:lineRule="auto"/>
              <w:ind w:firstLine="420"/>
              <w:jc w:val="left"/>
            </w:pPr>
          </w:p>
        </w:tc>
        <w:tc>
          <w:tcPr>
            <w:tcW w:w="6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532563">
            <w:pPr>
              <w:spacing w:line="360" w:lineRule="auto"/>
              <w:jc w:val="left"/>
            </w:pPr>
            <w:r>
              <w:rPr>
                <w:rFonts w:ascii="楷体" w:hAnsi="楷体" w:eastAsia="楷体" w:cs="楷体"/>
                <w:color w:val="auto"/>
              </w:rPr>
              <w:t>旅游活动的水域，林地，耕地等</w:t>
            </w:r>
          </w:p>
        </w:tc>
      </w:tr>
    </w:tbl>
    <w:p w14:paraId="217E3047">
      <w:pPr>
        <w:spacing w:line="360" w:lineRule="auto"/>
        <w:jc w:val="both"/>
      </w:pPr>
    </w:p>
    <w:p w14:paraId="3F3BA21B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2008</w:t>
      </w:r>
      <w:r>
        <w:rPr>
          <w:rFonts w:ascii="宋体" w:hAnsi="宋体" w:eastAsia="宋体" w:cs="宋体"/>
          <w:color w:val="auto"/>
        </w:rPr>
        <w:t>年以来，该村产业发展方向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8A3B3E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林业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特色种植业</w:t>
      </w:r>
    </w:p>
    <w:p w14:paraId="3CCFDDE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乡村旅游业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小商品加工业</w:t>
      </w:r>
    </w:p>
    <w:p w14:paraId="266F92CD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下列对</w:t>
      </w:r>
      <w:r>
        <w:rPr>
          <w:rFonts w:ascii="Times New Roman" w:hAnsi="Times New Roman" w:eastAsia="Times New Roman" w:cs="Times New Roman"/>
          <w:color w:val="auto"/>
        </w:rPr>
        <w:t>2008-2020</w:t>
      </w:r>
      <w:r>
        <w:rPr>
          <w:rFonts w:ascii="宋体" w:hAnsi="宋体" w:eastAsia="宋体" w:cs="宋体"/>
          <w:color w:val="auto"/>
        </w:rPr>
        <w:t>年该村空间功能变化的叙述，正确的是（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CFA239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土地功能单一化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家庭式旅游餐饮用地功能生产</w:t>
      </w: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宋体" w:hAnsi="宋体" w:eastAsia="宋体" w:cs="宋体"/>
          <w:color w:val="auto"/>
        </w:rPr>
        <w:t>生活复合化</w:t>
      </w:r>
    </w:p>
    <w:p w14:paraId="47A569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各功能用地界线逐渐明显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水域，林地功能生活</w:t>
      </w: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宋体" w:hAnsi="宋体" w:eastAsia="宋体" w:cs="宋体"/>
          <w:color w:val="auto"/>
        </w:rPr>
        <w:t>生态复合化</w:t>
      </w:r>
    </w:p>
    <w:p w14:paraId="72666E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赏花经济是指基于当地传统的农业产业或种植（引种）新的开花植物，形成具有一定规模并能吸引游客的产业形态。其内涵已经不再是传统意义的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靠花吃花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，而是促进赏花与其它产业融合发展。据此完成下面小题。</w:t>
      </w:r>
    </w:p>
    <w:p w14:paraId="55F88E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与传统的“靠花吃花”相比，赏花经济（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1B696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产品附加值低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投资成本较低</w:t>
      </w:r>
    </w:p>
    <w:p w14:paraId="3E957E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产业结构单一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产业链条较长</w:t>
      </w:r>
    </w:p>
    <w:p w14:paraId="2A1737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大面积引种开花植物时，下列因素中需首先考虑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596181774" name="图片 1596181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181774" name="图片 159618177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CD182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气候适宜性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交通便利性</w:t>
      </w:r>
    </w:p>
    <w:p w14:paraId="1F9CB5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花期长短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居民收入</w:t>
      </w:r>
    </w:p>
    <w:p w14:paraId="768C4C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在水平大气分布均匀的甲，乙两地，各选取一个空气柱（图）。两地由于地面受热不均产生空气运动，图中箭头指示其运动方向。据此完成下面小题。</w:t>
      </w:r>
    </w:p>
    <w:p w14:paraId="7B13FB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18097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0F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假设空气柱内气流没有水平位移，则图中气压（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302F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④</w:t>
      </w:r>
    </w:p>
    <w:p w14:paraId="0FE02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实际情况下，空气在近地面和上空某高度产生辐合或辐散，图中气流在（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766C2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①处辐散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②处辐散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③处辐合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④处辐散</w:t>
      </w:r>
    </w:p>
    <w:p w14:paraId="39D32E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月，国务院批准海南省三沙市设西沙区，南沙区。西沙区人民政府驻永兴岛，南沙区人民政府驻永暑礁。图为南沙区海马滩，万安滩，曾母暗沙三岛礁位置图。据此完成下面小题。</w:t>
      </w:r>
    </w:p>
    <w:p w14:paraId="6AF41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14575" cy="27717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1AD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一年内，三岛礁相比（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6A1A2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曾母暗沙的太阳直射次数最多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万安滩的昼长始终最长</w:t>
      </w:r>
    </w:p>
    <w:p w14:paraId="769B9A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海马滩正午太阳高度角变化幅度最大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万安滩的昼夜长短变化最小</w:t>
      </w:r>
    </w:p>
    <w:p w14:paraId="33D64F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中国海警执法船在元旦期间从永暑礁出发到曾母暗沙执行公务。下列叙述正确的是（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8299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出发地寒意正浓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沿途礁栖生物多</w:t>
      </w:r>
    </w:p>
    <w:p w14:paraId="55BA5D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途中北极星位于头顶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抵达时遭遇台风天气</w:t>
      </w:r>
    </w:p>
    <w:p w14:paraId="579711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南极冰盖（不包括冰架）面积占全球陆地总面积的</w:t>
      </w:r>
      <w:r>
        <w:rPr>
          <w:rFonts w:ascii="Times New Roman" w:hAnsi="Times New Roman" w:eastAsia="Times New Roman" w:cs="Times New Roman"/>
          <w:color w:val="000000"/>
        </w:rPr>
        <w:t>8.3%</w:t>
      </w:r>
      <w:r>
        <w:rPr>
          <w:rFonts w:ascii="楷体" w:hAnsi="楷体" w:eastAsia="楷体" w:cs="楷体"/>
          <w:color w:val="000000"/>
        </w:rPr>
        <w:t>，冰储量约</w:t>
      </w:r>
      <w:r>
        <w:rPr>
          <w:rFonts w:ascii="Times New Roman" w:hAnsi="Times New Roman" w:eastAsia="Times New Roman" w:cs="Times New Roman"/>
          <w:color w:val="000000"/>
        </w:rPr>
        <w:t>3.0×107km</w:t>
      </w:r>
      <w:r>
        <w:rPr>
          <w:color w:val="000000"/>
          <w:vertAlign w:val="superscript"/>
        </w:rPr>
        <w:t>3</w:t>
      </w:r>
      <w:r>
        <w:rPr>
          <w:rFonts w:ascii="楷体" w:hAnsi="楷体" w:eastAsia="楷体" w:cs="楷体"/>
          <w:color w:val="000000"/>
        </w:rPr>
        <w:t>，平均厚度约</w:t>
      </w:r>
      <w:r>
        <w:rPr>
          <w:rFonts w:ascii="Times New Roman" w:hAnsi="Times New Roman" w:eastAsia="Times New Roman" w:cs="Times New Roman"/>
          <w:color w:val="000000"/>
        </w:rPr>
        <w:t>2100m</w:t>
      </w:r>
      <w:r>
        <w:rPr>
          <w:rFonts w:ascii="楷体" w:hAnsi="楷体" w:eastAsia="楷体" w:cs="楷体"/>
          <w:color w:val="000000"/>
        </w:rPr>
        <w:t>（下图）。虽然冰盖表面气温很低，但冰盖底部温度相对较高，底部会融化，形成冰下湖泊。地球上大多数冰山来源于南极冰川，南极洲周围大洋冰山的总量约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万座。据此完成下面小题。</w:t>
      </w:r>
    </w:p>
    <w:p w14:paraId="76704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19450" cy="1638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9A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关于图所示冰下湖泊的说法，正确的是（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81C37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湖水参与海陆间水循环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湖水盐度高于周围海洋</w:t>
      </w:r>
    </w:p>
    <w:p w14:paraId="1A1DB9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湖泊中渔业资源丰富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湖泊热量来源于太阳辐射</w:t>
      </w:r>
    </w:p>
    <w:p w14:paraId="2F7C2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关于南极洲周围大洋冰山的说法，正确的是（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514C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冰山融化导致海平面上升明显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冰山融化改变了西风漂流的流向</w:t>
      </w:r>
    </w:p>
    <w:p w14:paraId="693207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冰山周围海水可形成上升流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冰山运动方向受极地东北风影响</w:t>
      </w:r>
    </w:p>
    <w:p w14:paraId="6F3F3D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了解释坡度变化对河流地貌发育的影响，有人设计了理想化天平实验装置（下图），用于演示河流沉积作用和侵蚀作用过程，天平横杆上的刻度表示河流坡降与泥沙粒度的大小。以下为实验的部分过程，据此完成下面小题。</w:t>
      </w:r>
    </w:p>
    <w:p w14:paraId="54D644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22098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4A8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实验第一步，水桶往右平移，指针向左偏转，示意河流（   ）</w:t>
      </w:r>
    </w:p>
    <w:p w14:paraId="60EF4D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坡降增大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泥沙粒度减小</w:t>
      </w:r>
    </w:p>
    <w:p w14:paraId="533759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流量增大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沉积量增大</w:t>
      </w:r>
    </w:p>
    <w:p w14:paraId="59B6B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实验第二步，为使天平保持平衡，秤盘往左平移，示意河流（   ）</w:t>
      </w:r>
    </w:p>
    <w:p w14:paraId="57CADC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水动力增大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侵蚀作用增强</w:t>
      </w:r>
    </w:p>
    <w:p w14:paraId="721483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流速增大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泥沙粒度增大</w:t>
      </w:r>
    </w:p>
    <w:p w14:paraId="5B914E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碳汇是从大气中清除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楷体" w:hAnsi="楷体" w:eastAsia="楷体" w:cs="楷体"/>
          <w:color w:val="000000"/>
        </w:rPr>
        <w:t>，碳源是向大气中排放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楷体" w:hAnsi="楷体" w:eastAsia="楷体" w:cs="楷体"/>
          <w:color w:val="000000"/>
        </w:rPr>
        <w:t>，碳循环过程中地球系统内储存碳的载体称为碳库。图为北极地区陆地生态系统（虚线框内）碳循环示意图，该系统在碳循环过程中对气候的反应敏感。据此完成下面小题。</w:t>
      </w:r>
    </w:p>
    <w:p w14:paraId="2DA279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24225" cy="22383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48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在北极地区陆地生态系统碳循环中（   ）</w:t>
      </w:r>
    </w:p>
    <w:p w14:paraId="5270D1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生物光合作用对大气起着碳源作用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土壤呼吸对大气起着碳汇作用</w:t>
      </w:r>
    </w:p>
    <w:p w14:paraId="28A736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该系统对大气起着净碳汇作用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气温升高土壤碳排放减少</w:t>
      </w:r>
    </w:p>
    <w:p w14:paraId="3735E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据图可知（   ）</w:t>
      </w:r>
    </w:p>
    <w:p w14:paraId="25FDA3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陆地生态系统净固碳量为</w:t>
      </w:r>
      <w:r>
        <w:rPr>
          <w:rFonts w:ascii="Times New Roman" w:hAnsi="Times New Roman" w:eastAsia="Times New Roman" w:cs="Times New Roman"/>
          <w:color w:val="000000"/>
        </w:rPr>
        <w:t>1.73×10</w:t>
      </w:r>
      <w:r>
        <w:rPr>
          <w:color w:val="000000"/>
          <w:vertAlign w:val="superscript"/>
        </w:rPr>
        <w:t>9</w:t>
      </w:r>
      <w:r>
        <w:rPr>
          <w:rFonts w:ascii="Times New Roman" w:hAnsi="Times New Roman" w:eastAsia="Times New Roman" w:cs="Times New Roman"/>
          <w:color w:val="000000"/>
        </w:rPr>
        <w:t>t/a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陆地生态系统碳排放量为</w:t>
      </w:r>
      <w:r>
        <w:rPr>
          <w:rFonts w:ascii="Times New Roman" w:hAnsi="Times New Roman" w:eastAsia="Times New Roman" w:cs="Times New Roman"/>
          <w:color w:val="000000"/>
        </w:rPr>
        <w:t>8.70×10</w:t>
      </w:r>
      <w:r>
        <w:rPr>
          <w:color w:val="000000"/>
          <w:vertAlign w:val="superscript"/>
        </w:rPr>
        <w:t>9</w:t>
      </w:r>
      <w:r>
        <w:rPr>
          <w:rFonts w:ascii="Times New Roman" w:hAnsi="Times New Roman" w:eastAsia="Times New Roman" w:cs="Times New Roman"/>
          <w:color w:val="000000"/>
        </w:rPr>
        <w:t>t/a</w:t>
      </w:r>
    </w:p>
    <w:p w14:paraId="2E65F8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生物净碳量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13.50×10</w:t>
      </w:r>
      <w:r>
        <w:rPr>
          <w:color w:val="000000"/>
          <w:vertAlign w:val="superscript"/>
        </w:rPr>
        <w:t>9</w:t>
      </w:r>
      <w:r>
        <w:rPr>
          <w:rFonts w:ascii="Times New Roman" w:hAnsi="Times New Roman" w:eastAsia="Times New Roman" w:cs="Times New Roman"/>
          <w:color w:val="000000"/>
        </w:rPr>
        <w:t>t/a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土壤碳排放量为</w:t>
      </w:r>
      <w:r>
        <w:rPr>
          <w:rFonts w:ascii="Times New Roman" w:hAnsi="Times New Roman" w:eastAsia="Times New Roman" w:cs="Times New Roman"/>
          <w:color w:val="000000"/>
        </w:rPr>
        <w:t>2.97×10</w:t>
      </w:r>
      <w:r>
        <w:rPr>
          <w:color w:val="000000"/>
          <w:vertAlign w:val="superscript"/>
        </w:rPr>
        <w:t>9</w:t>
      </w:r>
      <w:r>
        <w:rPr>
          <w:rFonts w:ascii="Times New Roman" w:hAnsi="Times New Roman" w:eastAsia="Times New Roman" w:cs="Times New Roman"/>
          <w:color w:val="000000"/>
        </w:rPr>
        <w:t>t/a</w:t>
      </w:r>
    </w:p>
    <w:p w14:paraId="229D80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在北极地区陆地生态系统中，土壤碳储量远高于其他碳储量的主要影响因素是</w:t>
      </w:r>
      <w:r>
        <w:rPr>
          <w:rFonts w:ascii="宋体" w:hAnsi="宋体" w:eastAsia="宋体" w:cs="宋体"/>
          <w:color w:val="000000"/>
        </w:rPr>
        <w:t>（   ）</w:t>
      </w:r>
    </w:p>
    <w:p w14:paraId="1A81DC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地形</w:t>
      </w:r>
      <w:r>
        <w:rPr>
          <w:color w:val="000000"/>
        </w:rPr>
        <w:tab/>
      </w:r>
      <w:r>
        <w:rPr>
          <w:color w:val="000000"/>
        </w:rPr>
        <w:t>B. 气候</w:t>
      </w:r>
      <w:r>
        <w:rPr>
          <w:color w:val="000000"/>
        </w:rPr>
        <w:tab/>
      </w:r>
      <w:r>
        <w:rPr>
          <w:color w:val="000000"/>
        </w:rPr>
        <w:t>C. 生物</w:t>
      </w:r>
      <w:r>
        <w:rPr>
          <w:color w:val="000000"/>
        </w:rPr>
        <w:tab/>
      </w:r>
      <w:r>
        <w:rPr>
          <w:color w:val="000000"/>
        </w:rPr>
        <w:t>D. 水文</w:t>
      </w:r>
    </w:p>
    <w:p w14:paraId="1CF6496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84E69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73A2D84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西藏自治区昌都市位于青藏高原向藏东南高山峡谷过渡区和三江（金沙江，澜沧江，怒江）流域，具有高寒，干旱的环境特征。草地是其主要植被类型，平均气温在</w:t>
      </w:r>
      <w:r>
        <w:rPr>
          <w:rFonts w:ascii="Times New Roman" w:hAnsi="Times New Roman" w:eastAsia="Times New Roman" w:cs="Times New Roman"/>
          <w:color w:val="000000"/>
        </w:rPr>
        <w:t>2.4-16.6℃</w:t>
      </w:r>
      <w:r>
        <w:rPr>
          <w:rFonts w:ascii="楷体" w:hAnsi="楷体" w:eastAsia="楷体" w:cs="楷体"/>
          <w:color w:val="000000"/>
        </w:rPr>
        <w:t>之间。</w:t>
      </w:r>
      <w:r>
        <w:rPr>
          <w:rFonts w:ascii="Times New Roman" w:hAnsi="Times New Roman" w:eastAsia="Times New Roman" w:cs="Times New Roman"/>
          <w:color w:val="000000"/>
        </w:rPr>
        <w:t>2000-2020</w:t>
      </w:r>
      <w:r>
        <w:rPr>
          <w:rFonts w:ascii="楷体" w:hAnsi="楷体" w:eastAsia="楷体" w:cs="楷体"/>
          <w:color w:val="000000"/>
        </w:rPr>
        <w:t>年，该区域气温呈上升趋势，植被覆盖显著增加，蒸发蒸腾量变化趋势为</w:t>
      </w:r>
      <w:r>
        <w:rPr>
          <w:rFonts w:ascii="Times New Roman" w:hAnsi="Times New Roman" w:eastAsia="Times New Roman" w:cs="Times New Roman"/>
          <w:color w:val="000000"/>
        </w:rPr>
        <w:t>3.76mm/a</w:t>
      </w:r>
      <w:r>
        <w:rPr>
          <w:rFonts w:ascii="楷体" w:hAnsi="楷体" w:eastAsia="楷体" w:cs="楷体"/>
          <w:color w:val="000000"/>
        </w:rPr>
        <w:t>；年降水量约</w:t>
      </w:r>
      <w:r>
        <w:rPr>
          <w:rFonts w:ascii="Times New Roman" w:hAnsi="Times New Roman" w:eastAsia="Times New Roman" w:cs="Times New Roman"/>
          <w:color w:val="000000"/>
        </w:rPr>
        <w:t>477.7mm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5-9</w:t>
      </w:r>
      <w:r>
        <w:rPr>
          <w:rFonts w:ascii="楷体" w:hAnsi="楷体" w:eastAsia="楷体" w:cs="楷体"/>
          <w:color w:val="000000"/>
        </w:rPr>
        <w:t>月降水量占全年总降水量的</w:t>
      </w:r>
      <w:r>
        <w:rPr>
          <w:rFonts w:ascii="Times New Roman" w:hAnsi="Times New Roman" w:eastAsia="Times New Roman" w:cs="Times New Roman"/>
          <w:color w:val="000000"/>
        </w:rPr>
        <w:t>77.9%-95.8%</w:t>
      </w:r>
      <w:r>
        <w:rPr>
          <w:rFonts w:ascii="楷体" w:hAnsi="楷体" w:eastAsia="楷体" w:cs="楷体"/>
          <w:color w:val="000000"/>
        </w:rPr>
        <w:t>，年际变化不大；生态系统水资源供给量呈下降趋势，实际土壤侵蚀量呈增长趋势。</w:t>
      </w:r>
    </w:p>
    <w:p w14:paraId="1ED16F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从自然环境整体性角度，分析气温升高对该区域植被，水分和土壤的影响。</w:t>
      </w:r>
    </w:p>
    <w:p w14:paraId="23ACB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阅读图文材料，完成下列要求。</w:t>
      </w:r>
    </w:p>
    <w:p w14:paraId="628967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石羊河流域位于河西走廊东部（左图），是我国西北地区气候变化敏感区和生态脆弱区。合理分配和利用水资源，对该流域生态环境的改善至关重要。右图为</w:t>
      </w:r>
      <w:r>
        <w:rPr>
          <w:rFonts w:ascii="Times New Roman" w:hAnsi="Times New Roman" w:eastAsia="Times New Roman" w:cs="Times New Roman"/>
          <w:color w:val="000000"/>
        </w:rPr>
        <w:t>2005-2022</w:t>
      </w:r>
      <w:r>
        <w:rPr>
          <w:rFonts w:ascii="楷体" w:hAnsi="楷体" w:eastAsia="楷体" w:cs="楷体"/>
          <w:color w:val="000000"/>
        </w:rPr>
        <w:t>年石羊河流域荒漠面积与人工输水量和年降水量变化图。</w:t>
      </w:r>
    </w:p>
    <w:p w14:paraId="3F4252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22479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3505200" cy="21717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9DD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根据图文材料，分析石羊河流域生态环境的变化及原因。</w:t>
      </w:r>
    </w:p>
    <w:p w14:paraId="1DF5A4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阅读图文材料，完成下列要求。</w:t>
      </w:r>
    </w:p>
    <w:p w14:paraId="1D257E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粮食安全受生产，进出口和消费等诸多因素影响。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年，中国进口谷物类（小麦，大麦，玉米，稻谷等）</w:t>
      </w:r>
      <w:r>
        <w:rPr>
          <w:rFonts w:ascii="Times New Roman" w:hAnsi="Times New Roman" w:eastAsia="Times New Roman" w:cs="Times New Roman"/>
          <w:color w:val="000000"/>
        </w:rPr>
        <w:t>5319</w:t>
      </w:r>
      <w:r>
        <w:rPr>
          <w:rFonts w:ascii="楷体" w:hAnsi="楷体" w:eastAsia="楷体" w:cs="楷体"/>
          <w:color w:val="000000"/>
        </w:rPr>
        <w:t>万吨和豆类</w:t>
      </w:r>
      <w:r>
        <w:rPr>
          <w:rFonts w:ascii="Times New Roman" w:hAnsi="Times New Roman" w:eastAsia="Times New Roman" w:cs="Times New Roman"/>
          <w:color w:val="000000"/>
        </w:rPr>
        <w:t>9367</w:t>
      </w:r>
      <w:r>
        <w:rPr>
          <w:rFonts w:ascii="楷体" w:hAnsi="楷体" w:eastAsia="楷体" w:cs="楷体"/>
          <w:color w:val="000000"/>
        </w:rPr>
        <w:t>万吨（其中大豆</w:t>
      </w:r>
      <w:r>
        <w:rPr>
          <w:rFonts w:ascii="Times New Roman" w:hAnsi="Times New Roman" w:eastAsia="Times New Roman" w:cs="Times New Roman"/>
          <w:color w:val="000000"/>
        </w:rPr>
        <w:t>9108</w:t>
      </w:r>
      <w:r>
        <w:rPr>
          <w:rFonts w:ascii="楷体" w:hAnsi="楷体" w:eastAsia="楷体" w:cs="楷体"/>
          <w:color w:val="000000"/>
        </w:rPr>
        <w:t>万吨，主要用于饲料和油料生产）。养殖肉鸡，肉鸭增重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公斤需消耗饲料约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公斤，养殖生猪增重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公斤需消耗饲料约</w:t>
      </w:r>
      <w:r>
        <w:rPr>
          <w:rFonts w:ascii="Times New Roman" w:hAnsi="Times New Roman" w:eastAsia="Times New Roman" w:cs="Times New Roman"/>
          <w:color w:val="000000"/>
        </w:rPr>
        <w:t>3.5</w:t>
      </w:r>
      <w:r>
        <w:rPr>
          <w:rFonts w:ascii="楷体" w:hAnsi="楷体" w:eastAsia="楷体" w:cs="楷体"/>
          <w:color w:val="000000"/>
        </w:rPr>
        <w:t>公斤。下图为</w:t>
      </w:r>
      <w:r>
        <w:rPr>
          <w:rFonts w:ascii="Times New Roman" w:hAnsi="Times New Roman" w:eastAsia="Times New Roman" w:cs="Times New Roman"/>
          <w:color w:val="000000"/>
        </w:rPr>
        <w:t>2005-2021</w:t>
      </w:r>
      <w:r>
        <w:rPr>
          <w:rFonts w:ascii="楷体" w:hAnsi="楷体" w:eastAsia="楷体" w:cs="楷体"/>
          <w:color w:val="000000"/>
        </w:rPr>
        <w:t>年我国主要谷物产量变化图。</w:t>
      </w:r>
    </w:p>
    <w:p w14:paraId="2F84EF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86275" cy="17240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43D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简述</w:t>
      </w:r>
      <w:r>
        <w:rPr>
          <w:rFonts w:ascii="Times New Roman" w:hAnsi="Times New Roman" w:eastAsia="Times New Roman" w:cs="Times New Roman"/>
          <w:color w:val="000000"/>
        </w:rPr>
        <w:t>2005-2021</w:t>
      </w:r>
      <w:r>
        <w:rPr>
          <w:rFonts w:ascii="宋体" w:hAnsi="宋体" w:eastAsia="宋体" w:cs="宋体"/>
          <w:color w:val="000000"/>
        </w:rPr>
        <w:t>年我国主要谷物总产量及构成的变化特点。</w:t>
      </w:r>
    </w:p>
    <w:p w14:paraId="3EF62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根据材料提出减少粮食消耗的合理建议。</w:t>
      </w:r>
    </w:p>
    <w:p w14:paraId="210A5C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阅读图文材料，完成下列要求。</w:t>
      </w:r>
    </w:p>
    <w:p w14:paraId="729CC3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四川省攀枝花市位于横断山脉和云贵高原交界处，城区东西绵延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多公里（下图）。地形以山地为主，光照充足，年降水量为</w:t>
      </w:r>
      <w:r>
        <w:rPr>
          <w:rFonts w:ascii="Times New Roman" w:hAnsi="Times New Roman" w:eastAsia="Times New Roman" w:cs="Times New Roman"/>
          <w:color w:val="000000"/>
        </w:rPr>
        <w:t>760-1200mm</w:t>
      </w:r>
      <w:r>
        <w:rPr>
          <w:rFonts w:ascii="楷体" w:hAnsi="楷体" w:eastAsia="楷体" w:cs="楷体"/>
          <w:color w:val="000000"/>
        </w:rPr>
        <w:t>，海拔</w:t>
      </w:r>
      <w:r>
        <w:rPr>
          <w:rFonts w:ascii="Times New Roman" w:hAnsi="Times New Roman" w:eastAsia="Times New Roman" w:cs="Times New Roman"/>
          <w:color w:val="000000"/>
        </w:rPr>
        <w:t>1400-1500m</w:t>
      </w:r>
      <w:r>
        <w:rPr>
          <w:rFonts w:ascii="楷体" w:hAnsi="楷体" w:eastAsia="楷体" w:cs="楷体"/>
          <w:color w:val="000000"/>
        </w:rPr>
        <w:t>以下的河谷地区全年基本无冬。该市钒钛磁铁矿，煤矿等资源丰富，通过资源开发形成三个产业发展阶段（下表），是我国重要的钢铁基地。</w:t>
      </w:r>
    </w:p>
    <w:p w14:paraId="173F59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05350" cy="14859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78"/>
        <w:gridCol w:w="6447"/>
      </w:tblGrid>
      <w:tr w14:paraId="6DD67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4060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发展阶段</w:t>
            </w:r>
          </w:p>
        </w:tc>
        <w:tc>
          <w:tcPr>
            <w:tcW w:w="6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D58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产业发展</w:t>
            </w:r>
          </w:p>
        </w:tc>
      </w:tr>
      <w:tr w14:paraId="3C37C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9C48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</w:t>
            </w:r>
            <w:r>
              <w:rPr>
                <w:rFonts w:ascii="楷体" w:hAnsi="楷体" w:eastAsia="楷体" w:cs="楷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1965—1989</w:t>
            </w:r>
            <w:r>
              <w:rPr>
                <w:rFonts w:ascii="楷体" w:hAnsi="楷体" w:eastAsia="楷体" w:cs="楷体"/>
                <w:color w:val="000000"/>
              </w:rPr>
              <w:t>年）</w:t>
            </w:r>
          </w:p>
        </w:tc>
        <w:tc>
          <w:tcPr>
            <w:tcW w:w="6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22D8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建成西南最大钢铁基地，形成煤炭、电力、水泥等关联产业以及相应的大型、特大型资源型企业。</w:t>
            </w:r>
          </w:p>
        </w:tc>
      </w:tr>
      <w:tr w14:paraId="79A3E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345B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II</w:t>
            </w:r>
            <w:r>
              <w:rPr>
                <w:rFonts w:ascii="楷体" w:hAnsi="楷体" w:eastAsia="楷体" w:cs="楷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1990—2004</w:t>
            </w:r>
            <w:r>
              <w:rPr>
                <w:rFonts w:ascii="楷体" w:hAnsi="楷体" w:eastAsia="楷体" w:cs="楷体"/>
                <w:color w:val="000000"/>
              </w:rPr>
              <w:t>年）</w:t>
            </w:r>
          </w:p>
        </w:tc>
        <w:tc>
          <w:tcPr>
            <w:tcW w:w="6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5C31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建设攀钢二期工程，两期国家农业综合开发，建成二滩水电站（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3.3×10</w:t>
            </w:r>
            <w:r>
              <w:rPr>
                <w:color w:val="000000"/>
                <w:vertAlign w:val="superscript"/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kW</w:t>
            </w:r>
            <w:r>
              <w:rPr>
                <w:rFonts w:ascii="楷体" w:hAnsi="楷体" w:eastAsia="楷体" w:cs="楷体"/>
                <w:color w:val="000000"/>
              </w:rPr>
              <w:t>）。</w:t>
            </w:r>
          </w:p>
        </w:tc>
      </w:tr>
      <w:tr w14:paraId="68D58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7CD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III</w:t>
            </w:r>
            <w:r>
              <w:rPr>
                <w:rFonts w:ascii="楷体" w:hAnsi="楷体" w:eastAsia="楷体" w:cs="楷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2005</w:t>
            </w:r>
            <w:r>
              <w:rPr>
                <w:rFonts w:ascii="楷体" w:hAnsi="楷体" w:eastAsia="楷体" w:cs="楷体"/>
                <w:color w:val="000000"/>
              </w:rPr>
              <w:t>年起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楷体" w:hAnsi="楷体" w:eastAsia="楷体" w:cs="楷体"/>
                <w:color w:val="000000"/>
              </w:rPr>
              <w:t>）</w:t>
            </w:r>
          </w:p>
        </w:tc>
        <w:tc>
          <w:tcPr>
            <w:tcW w:w="6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85F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建设攀钢三期工程、国家级钒钛高新技术产业开发区，建成桐子林、金沙、银江水电站，实施屋顶光伏发电项目，建设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阳光花城，康养圣地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、中国三线建设博物馆等，获得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中国优秀旅游城市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称号</w:t>
            </w:r>
          </w:p>
        </w:tc>
      </w:tr>
    </w:tbl>
    <w:p w14:paraId="4BCA5CCF">
      <w:pPr>
        <w:spacing w:line="360" w:lineRule="auto"/>
        <w:jc w:val="both"/>
        <w:textAlignment w:val="center"/>
        <w:rPr>
          <w:color w:val="000000"/>
        </w:rPr>
      </w:pPr>
    </w:p>
    <w:p w14:paraId="696FB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描述攀枝花市城市布局的形态，并分析其原因。</w:t>
      </w:r>
    </w:p>
    <w:p w14:paraId="752F8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分别列举攀枝花市三个发展阶段开发利用的主要资源类型。</w:t>
      </w:r>
    </w:p>
    <w:p w14:paraId="13B59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简述攀枝花市在城市转型发展方面所采取的主要措施。</w:t>
      </w:r>
    </w:p>
    <w:p w14:paraId="5EE0E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0CD455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E751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8FAB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016B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FF13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8626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7A0F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A9B0B97"/>
    <w:rsid w:val="3EAE5AEB"/>
    <w:rsid w:val="512C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2869</Words>
  <Characters>3185</Characters>
  <Lines>0</Lines>
  <Paragraphs>0</Paragraphs>
  <TotalTime>0</TotalTime>
  <ScaleCrop>false</ScaleCrop>
  <LinksUpToDate>false</LinksUpToDate>
  <CharactersWithSpaces>3342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2026-02-10T06:37:00Z</dcterms:created>
  <dc:creator>Administrator</dc:creator>
  <cp:lastModifiedBy>上帝掷骰子吗</cp:lastModifiedBy>
  <dcterms:modified xsi:type="dcterms:W3CDTF">2026-02-10T06:55:42Z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543AC78837A64C5A8023386B897189BB_12</vt:lpwstr>
  </property>
</Properties>
</file>