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76064">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10185400</wp:posOffset>
            </wp:positionV>
            <wp:extent cx="444500" cy="3302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330200"/>
                    </a:xfrm>
                    <a:prstGeom prst="rect">
                      <a:avLst/>
                    </a:prstGeom>
                  </pic:spPr>
                </pic:pic>
              </a:graphicData>
            </a:graphic>
          </wp:anchor>
        </w:drawing>
      </w:r>
      <w:r>
        <w:rPr>
          <w:rFonts w:ascii="宋体" w:hAnsi="宋体" w:eastAsia="宋体" w:cs="宋体"/>
          <w:b/>
          <w:color w:val="auto"/>
          <w:sz w:val="32"/>
        </w:rPr>
        <w:t>河北省</w:t>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w:t>
      </w:r>
    </w:p>
    <w:p w14:paraId="26265B22">
      <w:pPr>
        <w:spacing w:line="285" w:lineRule="auto"/>
        <w:jc w:val="center"/>
      </w:pPr>
      <w:r>
        <w:rPr>
          <w:rFonts w:ascii="宋体" w:hAnsi="宋体" w:eastAsia="宋体" w:cs="宋体"/>
          <w:b/>
          <w:color w:val="auto"/>
          <w:sz w:val="32"/>
        </w:rPr>
        <w:t>地理</w:t>
      </w:r>
    </w:p>
    <w:p w14:paraId="71283F5F">
      <w:pPr>
        <w:spacing w:line="285" w:lineRule="auto"/>
        <w:jc w:val="left"/>
      </w:pPr>
      <w:r>
        <w:rPr>
          <w:rFonts w:ascii="宋体" w:hAnsi="宋体" w:eastAsia="宋体" w:cs="宋体"/>
          <w:b/>
          <w:color w:val="auto"/>
          <w:sz w:val="24"/>
        </w:rPr>
        <w:t>注意事项：</w:t>
      </w:r>
    </w:p>
    <w:p w14:paraId="2F02EE0D">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．答卷前，考生务必将自己的姓名、考生号、考场号、座位号填写在答题卡上。</w:t>
      </w:r>
    </w:p>
    <w:p w14:paraId="4CC12A9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3DB25C5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4645BBF6">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60A7C005">
      <w:pPr>
        <w:spacing w:line="285"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题：缺。</w:t>
      </w:r>
    </w:p>
    <w:p w14:paraId="6E47C802">
      <w:pPr>
        <w:spacing w:line="360" w:lineRule="auto"/>
        <w:ind w:firstLine="420"/>
        <w:jc w:val="left"/>
      </w:pPr>
      <w:r>
        <w:rPr>
          <w:rFonts w:ascii="楷体" w:hAnsi="楷体" w:eastAsia="楷体" w:cs="楷体"/>
          <w:color w:val="auto"/>
        </w:rPr>
        <w:t>西安（</w:t>
      </w:r>
      <w:r>
        <w:rPr>
          <w:rFonts w:ascii="Times New Roman" w:hAnsi="Times New Roman" w:eastAsia="Times New Roman" w:cs="Times New Roman"/>
          <w:color w:val="auto"/>
        </w:rPr>
        <w:t>34°17</w:t>
      </w:r>
      <w:r>
        <w:rPr>
          <w:rFonts w:ascii="楷体" w:hAnsi="楷体" w:eastAsia="楷体" w:cs="楷体"/>
          <w:color w:val="auto"/>
        </w:rPr>
        <w:t>＇</w:t>
      </w:r>
      <w:r>
        <w:rPr>
          <w:rFonts w:ascii="Times New Roman" w:hAnsi="Times New Roman" w:eastAsia="Times New Roman" w:cs="Times New Roman"/>
          <w:color w:val="auto"/>
        </w:rPr>
        <w:t>N</w:t>
      </w:r>
      <w:r>
        <w:rPr>
          <w:rFonts w:ascii="楷体" w:hAnsi="楷体" w:eastAsia="楷体" w:cs="楷体"/>
          <w:color w:val="auto"/>
        </w:rPr>
        <w:t>，</w:t>
      </w:r>
      <w:r>
        <w:rPr>
          <w:rFonts w:ascii="Times New Roman" w:hAnsi="Times New Roman" w:eastAsia="Times New Roman" w:cs="Times New Roman"/>
          <w:color w:val="auto"/>
        </w:rPr>
        <w:t>108°55</w:t>
      </w:r>
      <w:r>
        <w:rPr>
          <w:rFonts w:ascii="楷体" w:hAnsi="楷体" w:eastAsia="楷体" w:cs="楷体"/>
          <w:color w:val="auto"/>
        </w:rPr>
        <w:t>＇</w:t>
      </w:r>
      <w:r>
        <w:rPr>
          <w:rFonts w:ascii="Times New Roman" w:hAnsi="Times New Roman" w:eastAsia="Times New Roman" w:cs="Times New Roman"/>
          <w:color w:val="auto"/>
        </w:rPr>
        <w:t>E</w:t>
      </w:r>
      <w:r>
        <w:rPr>
          <w:rFonts w:ascii="楷体" w:hAnsi="楷体" w:eastAsia="楷体" w:cs="楷体"/>
          <w:color w:val="auto"/>
        </w:rPr>
        <w:t>）是连通我国东、西部的重要物流节点。</w:t>
      </w:r>
      <w:r>
        <w:rPr>
          <w:rFonts w:ascii="Times New Roman" w:hAnsi="Times New Roman" w:eastAsia="Times New Roman" w:cs="Times New Roman"/>
          <w:color w:val="auto"/>
        </w:rPr>
        <w:t>2024</w:t>
      </w:r>
      <w:r>
        <w:rPr>
          <w:rFonts w:ascii="楷体" w:hAnsi="楷体" w:eastAsia="楷体" w:cs="楷体"/>
          <w:color w:val="auto"/>
        </w:rPr>
        <w:t>年</w:t>
      </w:r>
      <w:r>
        <w:rPr>
          <w:rFonts w:ascii="Times New Roman" w:hAnsi="Times New Roman" w:eastAsia="Times New Roman" w:cs="Times New Roman"/>
          <w:color w:val="auto"/>
        </w:rPr>
        <w:t>3</w:t>
      </w:r>
      <w:r>
        <w:rPr>
          <w:rFonts w:ascii="楷体" w:hAnsi="楷体" w:eastAsia="楷体" w:cs="楷体"/>
          <w:color w:val="auto"/>
        </w:rPr>
        <w:t>月</w:t>
      </w:r>
      <w:r>
        <w:rPr>
          <w:rFonts w:ascii="Times New Roman" w:hAnsi="Times New Roman" w:eastAsia="Times New Roman" w:cs="Times New Roman"/>
          <w:color w:val="auto"/>
        </w:rPr>
        <w:t>26</w:t>
      </w:r>
      <w:r>
        <w:rPr>
          <w:rFonts w:ascii="楷体" w:hAnsi="楷体" w:eastAsia="楷体" w:cs="楷体"/>
          <w:color w:val="auto"/>
        </w:rPr>
        <w:t>日，我国首趟快递电商多联快车（干线铁路运输</w:t>
      </w:r>
      <w:r>
        <w:rPr>
          <w:rFonts w:ascii="Times New Roman" w:hAnsi="Times New Roman" w:eastAsia="Times New Roman" w:cs="Times New Roman"/>
          <w:color w:val="auto"/>
        </w:rPr>
        <w:t>+</w:t>
      </w:r>
      <w:r>
        <w:rPr>
          <w:rFonts w:ascii="楷体" w:hAnsi="楷体" w:eastAsia="楷体" w:cs="楷体"/>
          <w:color w:val="auto"/>
        </w:rPr>
        <w:t>两端集装箱配送）班列从西安出发，</w:t>
      </w:r>
      <w:r>
        <w:rPr>
          <w:rFonts w:ascii="Times New Roman" w:hAnsi="Times New Roman" w:eastAsia="Times New Roman" w:cs="Times New Roman"/>
          <w:color w:val="auto"/>
        </w:rPr>
        <w:t>38</w:t>
      </w:r>
      <w:r>
        <w:rPr>
          <w:rFonts w:ascii="楷体" w:hAnsi="楷体" w:eastAsia="楷体" w:cs="楷体"/>
          <w:color w:val="auto"/>
        </w:rPr>
        <w:t>小时后抵达乌鲁木齐（</w:t>
      </w:r>
      <w:r>
        <w:rPr>
          <w:rFonts w:ascii="Times New Roman" w:hAnsi="Times New Roman" w:eastAsia="Times New Roman" w:cs="Times New Roman"/>
          <w:color w:val="auto"/>
        </w:rPr>
        <w:t>43°47</w:t>
      </w:r>
      <w:r>
        <w:rPr>
          <w:rFonts w:ascii="楷体" w:hAnsi="楷体" w:eastAsia="楷体" w:cs="楷体"/>
          <w:color w:val="auto"/>
        </w:rPr>
        <w:t>＇</w:t>
      </w:r>
      <w:r>
        <w:rPr>
          <w:rFonts w:ascii="Times New Roman" w:hAnsi="Times New Roman" w:eastAsia="Times New Roman" w:cs="Times New Roman"/>
          <w:color w:val="auto"/>
        </w:rPr>
        <w:t>N</w:t>
      </w:r>
      <w:r>
        <w:rPr>
          <w:rFonts w:ascii="楷体" w:hAnsi="楷体" w:eastAsia="楷体" w:cs="楷体"/>
          <w:color w:val="auto"/>
        </w:rPr>
        <w:t>，</w:t>
      </w:r>
      <w:r>
        <w:rPr>
          <w:rFonts w:ascii="Times New Roman" w:hAnsi="Times New Roman" w:eastAsia="Times New Roman" w:cs="Times New Roman"/>
          <w:color w:val="auto"/>
        </w:rPr>
        <w:t>87°37</w:t>
      </w:r>
      <w:r>
        <w:rPr>
          <w:rFonts w:ascii="楷体" w:hAnsi="楷体" w:eastAsia="楷体" w:cs="楷体"/>
          <w:color w:val="auto"/>
        </w:rPr>
        <w:t>＇</w:t>
      </w:r>
      <w:r>
        <w:rPr>
          <w:rFonts w:ascii="Times New Roman" w:hAnsi="Times New Roman" w:eastAsia="Times New Roman" w:cs="Times New Roman"/>
          <w:color w:val="auto"/>
        </w:rPr>
        <w:t>E</w:t>
      </w:r>
      <w:r>
        <w:rPr>
          <w:rFonts w:ascii="楷体" w:hAnsi="楷体" w:eastAsia="楷体" w:cs="楷体"/>
          <w:color w:val="auto"/>
        </w:rPr>
        <w:t>），较传统公路运输方式用时缩短约</w:t>
      </w:r>
      <w:r>
        <w:rPr>
          <w:rFonts w:ascii="Times New Roman" w:hAnsi="Times New Roman" w:eastAsia="Times New Roman" w:cs="Times New Roman"/>
          <w:color w:val="auto"/>
        </w:rPr>
        <w:t>5</w:t>
      </w:r>
      <w:r>
        <w:rPr>
          <w:rFonts w:ascii="楷体" w:hAnsi="楷体" w:eastAsia="楷体" w:cs="楷体"/>
          <w:color w:val="auto"/>
        </w:rPr>
        <w:t>个小时。据此完成下面小题。</w:t>
      </w:r>
    </w:p>
    <w:p w14:paraId="62EF416C">
      <w:pPr>
        <w:spacing w:line="360" w:lineRule="auto"/>
        <w:jc w:val="left"/>
        <w:textAlignment w:val="center"/>
        <w:rPr>
          <w:color w:val="auto"/>
        </w:rPr>
      </w:pPr>
      <w:r>
        <w:t xml:space="preserve">1. </w:t>
      </w:r>
      <w:r>
        <w:rPr>
          <w:rFonts w:ascii="宋体" w:hAnsi="宋体" w:eastAsia="宋体" w:cs="宋体"/>
          <w:color w:val="auto"/>
        </w:rPr>
        <w:t>西安成为我国东、西部之间重要物流节点，主要缘于（</w:t>
      </w:r>
      <w:r>
        <w:rPr>
          <w:rFonts w:ascii="Times New Roman" w:hAnsi="Times New Roman" w:eastAsia="Times New Roman" w:cs="Times New Roman"/>
          <w:color w:val="auto"/>
        </w:rPr>
        <w:t xml:space="preserve">    </w:t>
      </w:r>
      <w:r>
        <w:rPr>
          <w:rFonts w:ascii="宋体" w:hAnsi="宋体" w:eastAsia="宋体" w:cs="宋体"/>
          <w:color w:val="auto"/>
        </w:rPr>
        <w:t>）</w:t>
      </w:r>
    </w:p>
    <w:p w14:paraId="7609E386">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先进的科学技术</w:t>
      </w:r>
      <w:r>
        <w:tab/>
      </w:r>
      <w:r>
        <w:t xml:space="preserve">B. </w:t>
      </w:r>
      <w:r>
        <w:rPr>
          <w:rFonts w:ascii="宋体" w:hAnsi="宋体" w:eastAsia="宋体" w:cs="宋体"/>
          <w:color w:val="auto"/>
        </w:rPr>
        <w:t>雄厚的经济基础</w:t>
      </w:r>
      <w:r>
        <w:tab/>
      </w:r>
      <w:r>
        <w:t xml:space="preserve">C. </w:t>
      </w:r>
      <w:r>
        <w:rPr>
          <w:rFonts w:ascii="宋体" w:hAnsi="宋体" w:eastAsia="宋体" w:cs="宋体"/>
          <w:color w:val="auto"/>
        </w:rPr>
        <w:t>优越的地理位置</w:t>
      </w:r>
      <w:r>
        <w:tab/>
      </w:r>
      <w:r>
        <w:t xml:space="preserve">D. </w:t>
      </w:r>
      <w:r>
        <w:rPr>
          <w:rFonts w:ascii="宋体" w:hAnsi="宋体" w:eastAsia="宋体" w:cs="宋体"/>
          <w:color w:val="auto"/>
        </w:rPr>
        <w:t>庞大的人口数量</w:t>
      </w:r>
    </w:p>
    <w:p w14:paraId="0C4C4702">
      <w:pPr>
        <w:spacing w:line="360" w:lineRule="auto"/>
        <w:jc w:val="left"/>
        <w:textAlignment w:val="center"/>
        <w:rPr>
          <w:color w:val="auto"/>
        </w:rPr>
      </w:pPr>
      <w:r>
        <w:t xml:space="preserve">2. </w:t>
      </w:r>
      <w:r>
        <w:rPr>
          <w:rFonts w:ascii="宋体" w:hAnsi="宋体" w:eastAsia="宋体" w:cs="宋体"/>
          <w:color w:val="auto"/>
        </w:rPr>
        <w:t>西安至乌鲁木齐快递电商多联快车班列的突出优势是（</w:t>
      </w:r>
      <w:r>
        <w:rPr>
          <w:rFonts w:ascii="Times New Roman" w:hAnsi="Times New Roman" w:eastAsia="Times New Roman" w:cs="Times New Roman"/>
          <w:color w:val="auto"/>
        </w:rPr>
        <w:t xml:space="preserve">    </w:t>
      </w:r>
      <w:r>
        <w:rPr>
          <w:rFonts w:ascii="宋体" w:hAnsi="宋体" w:eastAsia="宋体" w:cs="宋体"/>
          <w:color w:val="auto"/>
        </w:rPr>
        <w:t>）</w:t>
      </w:r>
    </w:p>
    <w:p w14:paraId="6D54B15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降本增效</w:t>
      </w:r>
      <w:r>
        <w:tab/>
      </w:r>
      <w:r>
        <w:t xml:space="preserve">B. </w:t>
      </w:r>
      <w:r>
        <w:rPr>
          <w:rFonts w:ascii="宋体" w:hAnsi="宋体" w:eastAsia="宋体" w:cs="宋体"/>
          <w:color w:val="auto"/>
        </w:rPr>
        <w:t>转运方便</w:t>
      </w:r>
      <w:r>
        <w:tab/>
      </w:r>
      <w:r>
        <w:t xml:space="preserve">C. </w:t>
      </w:r>
      <w:r>
        <w:rPr>
          <w:rFonts w:ascii="宋体" w:hAnsi="宋体" w:eastAsia="宋体" w:cs="宋体"/>
          <w:color w:val="auto"/>
        </w:rPr>
        <w:t>机动灵活</w:t>
      </w:r>
      <w:r>
        <w:tab/>
      </w:r>
      <w:r>
        <w:t xml:space="preserve">D. </w:t>
      </w:r>
      <w:r>
        <w:rPr>
          <w:rFonts w:ascii="宋体" w:hAnsi="宋体" w:eastAsia="宋体" w:cs="宋体"/>
          <w:color w:val="auto"/>
        </w:rPr>
        <w:t>服务优质</w:t>
      </w:r>
    </w:p>
    <w:p w14:paraId="53C00FE1">
      <w:pPr>
        <w:spacing w:line="360" w:lineRule="auto"/>
        <w:jc w:val="left"/>
        <w:textAlignment w:val="center"/>
        <w:rPr>
          <w:color w:val="auto"/>
        </w:rPr>
      </w:pPr>
      <w:r>
        <w:t xml:space="preserve">3. </w:t>
      </w:r>
      <w:r>
        <w:rPr>
          <w:rFonts w:ascii="宋体" w:hAnsi="宋体" w:eastAsia="宋体" w:cs="宋体"/>
          <w:color w:val="auto"/>
        </w:rPr>
        <w:t>该趟班列首发当日，乌鲁木齐比西安（</w:t>
      </w:r>
      <w:r>
        <w:rPr>
          <w:rFonts w:ascii="Times New Roman" w:hAnsi="Times New Roman" w:eastAsia="Times New Roman" w:cs="Times New Roman"/>
          <w:color w:val="auto"/>
        </w:rPr>
        <w:t xml:space="preserve">    </w:t>
      </w:r>
      <w:r>
        <w:rPr>
          <w:rFonts w:ascii="宋体" w:hAnsi="宋体" w:eastAsia="宋体" w:cs="宋体"/>
          <w:color w:val="auto"/>
        </w:rPr>
        <w:t>）</w:t>
      </w:r>
    </w:p>
    <w:p w14:paraId="4993F61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日出时刻早</w:t>
      </w:r>
      <w:r>
        <w:tab/>
      </w:r>
      <w:r>
        <w:t xml:space="preserve">B. </w:t>
      </w:r>
      <w:r>
        <w:rPr>
          <w:rFonts w:ascii="宋体" w:hAnsi="宋体" w:eastAsia="宋体" w:cs="宋体"/>
          <w:color w:val="auto"/>
        </w:rPr>
        <w:t>正午太阳高度大</w:t>
      </w:r>
      <w:r>
        <w:tab/>
      </w:r>
      <w:r>
        <w:t xml:space="preserve">C. </w:t>
      </w:r>
      <w:r>
        <w:rPr>
          <w:rFonts w:ascii="宋体" w:hAnsi="宋体" w:eastAsia="宋体" w:cs="宋体"/>
          <w:color w:val="auto"/>
        </w:rPr>
        <w:t>白昼时间长</w:t>
      </w:r>
      <w:r>
        <w:tab/>
      </w:r>
      <w:r>
        <w:t xml:space="preserve">D. </w:t>
      </w:r>
      <w:r>
        <w:rPr>
          <w:rFonts w:ascii="宋体" w:hAnsi="宋体" w:eastAsia="宋体" w:cs="宋体"/>
          <w:color w:val="auto"/>
        </w:rPr>
        <w:t>日落方位略偏南</w:t>
      </w:r>
    </w:p>
    <w:p w14:paraId="7275BFCC">
      <w:pPr>
        <w:spacing w:line="285" w:lineRule="auto"/>
        <w:jc w:val="left"/>
        <w:textAlignment w:val="center"/>
        <w:rPr>
          <w:color w:val="000000"/>
        </w:rPr>
      </w:pPr>
      <w:r>
        <w:rPr>
          <w:rFonts w:ascii="Times New Roman" w:hAnsi="Times New Roman" w:eastAsia="Times New Roman" w:cs="Times New Roman"/>
          <w:color w:val="000000"/>
          <w:sz w:val="21"/>
        </w:rPr>
        <w:t>6</w:t>
      </w:r>
      <w:r>
        <w:rPr>
          <w:rFonts w:ascii="宋体" w:hAnsi="宋体" w:eastAsia="宋体" w:cs="宋体"/>
          <w:color w:val="000000"/>
          <w:sz w:val="21"/>
        </w:rPr>
        <w:t>～</w:t>
      </w:r>
      <w:r>
        <w:rPr>
          <w:rFonts w:ascii="Times New Roman" w:hAnsi="Times New Roman" w:eastAsia="Times New Roman" w:cs="Times New Roman"/>
          <w:color w:val="000000"/>
          <w:sz w:val="21"/>
        </w:rPr>
        <w:t>16</w:t>
      </w:r>
      <w:r>
        <w:rPr>
          <w:rFonts w:ascii="宋体" w:hAnsi="宋体" w:eastAsia="宋体" w:cs="宋体"/>
          <w:color w:val="000000"/>
          <w:sz w:val="21"/>
        </w:rPr>
        <w:t>题：缺</w:t>
      </w:r>
      <w:r>
        <w:rPr>
          <w:rFonts w:ascii="宋体" w:hAnsi="宋体" w:eastAsia="宋体" w:cs="宋体"/>
          <w:color w:val="000000"/>
          <w:position w:val="-12"/>
          <w:sz w:val="21"/>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FEAE27A">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道题，共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37BEDF97">
      <w:pPr>
        <w:spacing w:line="360" w:lineRule="auto"/>
        <w:jc w:val="left"/>
        <w:textAlignment w:val="center"/>
        <w:rPr>
          <w:color w:val="000000"/>
        </w:rPr>
      </w:pPr>
      <w:r>
        <w:rPr>
          <w:color w:val="000000"/>
        </w:rPr>
        <w:t xml:space="preserve">4. </w:t>
      </w:r>
      <w:r>
        <w:rPr>
          <w:rFonts w:ascii="宋体" w:hAnsi="宋体" w:eastAsia="宋体" w:cs="宋体"/>
          <w:color w:val="000000"/>
        </w:rPr>
        <w:t>阅读材料，完成下列要求。</w:t>
      </w:r>
    </w:p>
    <w:p w14:paraId="19F0E96B">
      <w:pPr>
        <w:spacing w:line="360" w:lineRule="auto"/>
        <w:ind w:firstLine="420"/>
        <w:jc w:val="left"/>
        <w:textAlignment w:val="center"/>
        <w:rPr>
          <w:color w:val="000000"/>
        </w:rPr>
      </w:pPr>
      <w:r>
        <w:rPr>
          <w:rFonts w:ascii="楷体" w:hAnsi="楷体" w:eastAsia="楷体" w:cs="楷体"/>
          <w:color w:val="000000"/>
        </w:rPr>
        <w:t>德国莱茵</w:t>
      </w:r>
      <w:r>
        <w:rPr>
          <w:rFonts w:ascii="Times New Roman" w:hAnsi="Times New Roman" w:eastAsia="Times New Roman" w:cs="Times New Roman"/>
          <w:color w:val="000000"/>
        </w:rPr>
        <w:t>——</w:t>
      </w:r>
      <w:r>
        <w:rPr>
          <w:rFonts w:ascii="楷体" w:hAnsi="楷体" w:eastAsia="楷体" w:cs="楷体"/>
          <w:color w:val="000000"/>
        </w:rPr>
        <w:t>鲁尔城市群（图）是区域协调发展的典型代表，</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年代以来，在市场与政府共同推动下，该区域对煤炭、钢铁、化工等重工业进行改造，积极培育新兴产业，实现了产业转型（表）。凭借发达的轨道交通，各城市协调发展，形成了区域一体化格局。</w:t>
      </w:r>
    </w:p>
    <w:p w14:paraId="7D414956">
      <w:pPr>
        <w:spacing w:line="360" w:lineRule="auto"/>
        <w:jc w:val="left"/>
        <w:textAlignment w:val="center"/>
        <w:rPr>
          <w:color w:val="000000"/>
        </w:rPr>
      </w:pPr>
      <w:r>
        <w:rPr>
          <w:color w:val="000000"/>
        </w:rPr>
        <w:drawing>
          <wp:inline distT="0" distB="0" distL="114300" distR="114300">
            <wp:extent cx="2667000" cy="1800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67000" cy="1800225"/>
                    </a:xfrm>
                    <a:prstGeom prst="rect">
                      <a:avLst/>
                    </a:prstGeom>
                  </pic:spPr>
                </pic:pic>
              </a:graphicData>
            </a:graphic>
          </wp:inline>
        </w:drawing>
      </w:r>
    </w:p>
    <w:tbl>
      <w:tblPr>
        <w:tblStyle w:val="4"/>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80"/>
        <w:gridCol w:w="4080"/>
      </w:tblGrid>
      <w:tr w14:paraId="57E0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A245F">
            <w:pPr>
              <w:spacing w:line="360" w:lineRule="auto"/>
              <w:jc w:val="center"/>
              <w:textAlignment w:val="center"/>
              <w:rPr>
                <w:color w:val="000000"/>
              </w:rPr>
            </w:pPr>
            <w:r>
              <w:rPr>
                <w:rFonts w:ascii="楷体" w:hAnsi="楷体" w:eastAsia="楷体" w:cs="楷体"/>
                <w:color w:val="000000"/>
              </w:rPr>
              <w:t>主中心城市</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B00D9">
            <w:pPr>
              <w:spacing w:line="360" w:lineRule="auto"/>
              <w:jc w:val="center"/>
              <w:textAlignment w:val="center"/>
              <w:rPr>
                <w:color w:val="000000"/>
              </w:rPr>
            </w:pPr>
            <w:r>
              <w:rPr>
                <w:rFonts w:ascii="Times New Roman" w:hAnsi="Times New Roman" w:eastAsia="Times New Roman" w:cs="Times New Roman"/>
                <w:color w:val="000000"/>
              </w:rPr>
              <w:t>2019</w:t>
            </w:r>
            <w:r>
              <w:rPr>
                <w:rFonts w:ascii="楷体" w:hAnsi="楷体" w:eastAsia="楷体" w:cs="楷体"/>
                <w:color w:val="000000"/>
              </w:rPr>
              <w:t>年主要产业部门</w:t>
            </w:r>
          </w:p>
        </w:tc>
      </w:tr>
      <w:tr w14:paraId="0308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BED5A">
            <w:pPr>
              <w:spacing w:line="360" w:lineRule="auto"/>
              <w:jc w:val="left"/>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．杜伊斯堡</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C12A7">
            <w:pPr>
              <w:spacing w:line="360" w:lineRule="auto"/>
              <w:jc w:val="center"/>
              <w:textAlignment w:val="center"/>
              <w:rPr>
                <w:color w:val="000000"/>
              </w:rPr>
            </w:pPr>
            <w:r>
              <w:rPr>
                <w:rFonts w:ascii="楷体" w:hAnsi="楷体" w:eastAsia="楷体" w:cs="楷体"/>
                <w:color w:val="000000"/>
              </w:rPr>
              <w:t>钢铁、物流、精密仪器制造</w:t>
            </w:r>
          </w:p>
        </w:tc>
      </w:tr>
      <w:tr w14:paraId="7174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266C2">
            <w:pPr>
              <w:spacing w:line="360" w:lineRule="auto"/>
              <w:jc w:val="left"/>
              <w:textAlignment w:val="center"/>
              <w:rPr>
                <w:color w:val="000000"/>
              </w:rPr>
            </w:pPr>
            <w:r>
              <w:rPr>
                <w:rFonts w:ascii="Times New Roman" w:hAnsi="Times New Roman" w:eastAsia="Times New Roman" w:cs="Times New Roman"/>
                <w:color w:val="000000"/>
              </w:rPr>
              <w:t>b</w:t>
            </w:r>
            <w:r>
              <w:rPr>
                <w:rFonts w:ascii="楷体" w:hAnsi="楷体" w:eastAsia="楷体" w:cs="楷体"/>
                <w:color w:val="000000"/>
              </w:rPr>
              <w:t>．埃森</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C08F6">
            <w:pPr>
              <w:spacing w:line="360" w:lineRule="auto"/>
              <w:jc w:val="center"/>
              <w:textAlignment w:val="center"/>
              <w:rPr>
                <w:color w:val="000000"/>
              </w:rPr>
            </w:pPr>
            <w:r>
              <w:rPr>
                <w:rFonts w:ascii="楷体" w:hAnsi="楷体" w:eastAsia="楷体" w:cs="楷体"/>
                <w:color w:val="000000"/>
              </w:rPr>
              <w:t>管理咨询、法律、会计</w:t>
            </w:r>
          </w:p>
        </w:tc>
      </w:tr>
      <w:tr w14:paraId="1AE4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679DD">
            <w:pPr>
              <w:spacing w:line="360" w:lineRule="auto"/>
              <w:jc w:val="left"/>
              <w:textAlignment w:val="center"/>
              <w:rPr>
                <w:color w:val="000000"/>
              </w:rPr>
            </w:pPr>
            <w:r>
              <w:rPr>
                <w:rFonts w:ascii="Times New Roman" w:hAnsi="Times New Roman" w:eastAsia="Times New Roman" w:cs="Times New Roman"/>
                <w:color w:val="000000"/>
              </w:rPr>
              <w:t>c</w:t>
            </w:r>
            <w:r>
              <w:rPr>
                <w:rFonts w:ascii="楷体" w:hAnsi="楷体" w:eastAsia="楷体" w:cs="楷体"/>
                <w:color w:val="000000"/>
              </w:rPr>
              <w:t>．多特蒙德</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0F23E">
            <w:pPr>
              <w:spacing w:line="360" w:lineRule="auto"/>
              <w:jc w:val="center"/>
              <w:textAlignment w:val="center"/>
              <w:rPr>
                <w:color w:val="000000"/>
              </w:rPr>
            </w:pPr>
            <w:r>
              <w:rPr>
                <w:rFonts w:ascii="楷体" w:hAnsi="楷体" w:eastAsia="楷体" w:cs="楷体"/>
                <w:color w:val="000000"/>
              </w:rPr>
              <w:t>保险、物流、电子商务</w:t>
            </w:r>
          </w:p>
        </w:tc>
      </w:tr>
      <w:tr w14:paraId="4801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0077B">
            <w:pPr>
              <w:spacing w:line="360" w:lineRule="auto"/>
              <w:jc w:val="left"/>
              <w:textAlignment w:val="center"/>
              <w:rPr>
                <w:color w:val="000000"/>
              </w:rPr>
            </w:pPr>
            <w:r>
              <w:rPr>
                <w:rFonts w:ascii="Times New Roman" w:hAnsi="Times New Roman" w:eastAsia="Times New Roman" w:cs="Times New Roman"/>
                <w:color w:val="000000"/>
              </w:rPr>
              <w:t>d</w:t>
            </w:r>
            <w:r>
              <w:rPr>
                <w:rFonts w:ascii="楷体" w:hAnsi="楷体" w:eastAsia="楷体" w:cs="楷体"/>
                <w:color w:val="000000"/>
              </w:rPr>
              <w:t>．杜塞尔多夫</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96785">
            <w:pPr>
              <w:spacing w:line="360" w:lineRule="auto"/>
              <w:jc w:val="center"/>
              <w:textAlignment w:val="center"/>
              <w:rPr>
                <w:color w:val="000000"/>
              </w:rPr>
            </w:pPr>
            <w:r>
              <w:rPr>
                <w:rFonts w:ascii="楷体" w:hAnsi="楷体" w:eastAsia="楷体" w:cs="楷体"/>
                <w:color w:val="000000"/>
              </w:rPr>
              <w:t>广告、服装、会展、物流</w:t>
            </w:r>
          </w:p>
        </w:tc>
      </w:tr>
      <w:tr w14:paraId="53F3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0546D">
            <w:pPr>
              <w:spacing w:line="360" w:lineRule="auto"/>
              <w:jc w:val="left"/>
              <w:textAlignment w:val="center"/>
              <w:rPr>
                <w:color w:val="000000"/>
              </w:rPr>
            </w:pPr>
            <w:r>
              <w:rPr>
                <w:rFonts w:ascii="Times New Roman" w:hAnsi="Times New Roman" w:eastAsia="Times New Roman" w:cs="Times New Roman"/>
                <w:color w:val="000000"/>
              </w:rPr>
              <w:t>e</w:t>
            </w:r>
            <w:r>
              <w:rPr>
                <w:rFonts w:ascii="楷体" w:hAnsi="楷体" w:eastAsia="楷体" w:cs="楷体"/>
                <w:color w:val="000000"/>
              </w:rPr>
              <w:t>．科隆</w:t>
            </w:r>
          </w:p>
        </w:tc>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5CAE1">
            <w:pPr>
              <w:spacing w:line="360" w:lineRule="auto"/>
              <w:jc w:val="center"/>
              <w:textAlignment w:val="center"/>
              <w:rPr>
                <w:color w:val="000000"/>
              </w:rPr>
            </w:pPr>
            <w:r>
              <w:rPr>
                <w:rFonts w:ascii="楷体" w:hAnsi="楷体" w:eastAsia="楷体" w:cs="楷体"/>
                <w:color w:val="000000"/>
              </w:rPr>
              <w:t>化学、汽车、传媒</w:t>
            </w:r>
          </w:p>
        </w:tc>
      </w:tr>
    </w:tbl>
    <w:p w14:paraId="66D2313E">
      <w:pPr>
        <w:spacing w:line="360" w:lineRule="auto"/>
        <w:jc w:val="left"/>
        <w:textAlignment w:val="center"/>
        <w:rPr>
          <w:color w:val="000000"/>
        </w:rPr>
      </w:pPr>
    </w:p>
    <w:p w14:paraId="6BB82D4A">
      <w:pPr>
        <w:spacing w:line="360" w:lineRule="auto"/>
        <w:jc w:val="left"/>
        <w:textAlignment w:val="center"/>
        <w:rPr>
          <w:color w:val="000000"/>
        </w:rPr>
      </w:pPr>
      <w:r>
        <w:rPr>
          <w:color w:val="000000"/>
        </w:rPr>
        <w:t>（1）</w:t>
      </w:r>
      <w:r>
        <w:rPr>
          <w:rFonts w:ascii="宋体" w:hAnsi="宋体" w:eastAsia="宋体" w:cs="宋体"/>
          <w:color w:val="000000"/>
        </w:rPr>
        <w:t>据图凝炼体现该城市群空间结构特点的关键词。</w:t>
      </w:r>
    </w:p>
    <w:p w14:paraId="69D00D67">
      <w:pPr>
        <w:spacing w:line="360" w:lineRule="auto"/>
        <w:jc w:val="left"/>
        <w:textAlignment w:val="center"/>
        <w:rPr>
          <w:color w:val="000000"/>
        </w:rPr>
      </w:pPr>
      <w:r>
        <w:rPr>
          <w:color w:val="000000"/>
        </w:rPr>
        <w:t>（2）</w:t>
      </w:r>
      <w:r>
        <w:rPr>
          <w:rFonts w:ascii="宋体" w:hAnsi="宋体" w:eastAsia="宋体" w:cs="宋体"/>
          <w:color w:val="000000"/>
        </w:rPr>
        <w:t>概述该城市群主中心城市产业转型发展的特征。</w:t>
      </w:r>
    </w:p>
    <w:p w14:paraId="5F54AD4A">
      <w:pPr>
        <w:spacing w:line="360" w:lineRule="auto"/>
        <w:jc w:val="left"/>
        <w:textAlignment w:val="center"/>
        <w:rPr>
          <w:color w:val="000000"/>
        </w:rPr>
      </w:pPr>
      <w:r>
        <w:rPr>
          <w:color w:val="000000"/>
        </w:rPr>
        <w:t>（3）</w:t>
      </w:r>
      <w:r>
        <w:rPr>
          <w:rFonts w:ascii="宋体" w:hAnsi="宋体" w:eastAsia="宋体" w:cs="宋体"/>
          <w:color w:val="000000"/>
        </w:rPr>
        <w:t>说明轨道交通对该城市群一体化发展</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w:t>
      </w:r>
    </w:p>
    <w:p w14:paraId="4C682AB7">
      <w:pPr>
        <w:spacing w:line="360" w:lineRule="auto"/>
        <w:jc w:val="left"/>
        <w:textAlignment w:val="center"/>
        <w:rPr>
          <w:color w:val="000000"/>
        </w:rPr>
      </w:pPr>
      <w:r>
        <w:rPr>
          <w:color w:val="000000"/>
        </w:rPr>
        <w:t xml:space="preserve">5.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6FB6A0F">
      <w:pPr>
        <w:spacing w:line="360" w:lineRule="auto"/>
        <w:ind w:firstLine="420"/>
        <w:jc w:val="left"/>
        <w:textAlignment w:val="center"/>
        <w:rPr>
          <w:color w:val="000000"/>
        </w:rPr>
      </w:pPr>
      <w:r>
        <w:rPr>
          <w:rFonts w:ascii="楷体" w:hAnsi="楷体" w:eastAsia="楷体" w:cs="楷体"/>
          <w:color w:val="000000"/>
        </w:rPr>
        <w:t>气候对土壤形成有着重要影响。黑土形成时气候温暖湿润，黑钙土形成时气候暖干，钙积层较厚，钙积层过浅对作物生长有不利影响。近年来黑土地水土流失等问题日益严重。</w:t>
      </w:r>
    </w:p>
    <w:p w14:paraId="5678D335">
      <w:pPr>
        <w:spacing w:line="360" w:lineRule="auto"/>
        <w:jc w:val="left"/>
        <w:textAlignment w:val="center"/>
        <w:rPr>
          <w:color w:val="000000"/>
        </w:rPr>
      </w:pPr>
      <w:r>
        <w:rPr>
          <w:color w:val="000000"/>
        </w:rPr>
        <w:drawing>
          <wp:inline distT="0" distB="0" distL="114300" distR="114300">
            <wp:extent cx="2428875" cy="542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428875" cy="542925"/>
                    </a:xfrm>
                    <a:prstGeom prst="rect">
                      <a:avLst/>
                    </a:prstGeom>
                  </pic:spPr>
                </pic:pic>
              </a:graphicData>
            </a:graphic>
          </wp:inline>
        </w:drawing>
      </w:r>
    </w:p>
    <w:p w14:paraId="0715678B">
      <w:pPr>
        <w:spacing w:line="360" w:lineRule="auto"/>
        <w:jc w:val="left"/>
        <w:textAlignment w:val="center"/>
        <w:rPr>
          <w:color w:val="000000"/>
        </w:rPr>
      </w:pPr>
      <w:r>
        <w:rPr>
          <w:color w:val="000000"/>
        </w:rPr>
        <w:t>（1）</w:t>
      </w:r>
      <w:r>
        <w:rPr>
          <w:rFonts w:ascii="宋体" w:hAnsi="宋体" w:eastAsia="宋体" w:cs="宋体"/>
          <w:color w:val="000000"/>
        </w:rPr>
        <w:t>写出嫩江及阶地对阶地上土壤发育</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影响。</w:t>
      </w:r>
    </w:p>
    <w:p w14:paraId="3A7BAF73">
      <w:pPr>
        <w:spacing w:line="360" w:lineRule="auto"/>
        <w:jc w:val="left"/>
        <w:textAlignment w:val="center"/>
        <w:rPr>
          <w:color w:val="000000"/>
        </w:rPr>
      </w:pPr>
      <w:r>
        <w:rPr>
          <w:color w:val="000000"/>
        </w:rPr>
        <w:t>（2）</w:t>
      </w:r>
      <w:r>
        <w:rPr>
          <w:rFonts w:ascii="宋体" w:hAnsi="宋体" w:eastAsia="宋体" w:cs="宋体"/>
          <w:color w:val="000000"/>
        </w:rPr>
        <w:t>判断黑土和黑钙土的形成的时间顺序，并根据气候特征解释二者土壤剖面的差异。</w:t>
      </w:r>
    </w:p>
    <w:p w14:paraId="4ED81FBA">
      <w:pPr>
        <w:spacing w:line="360" w:lineRule="auto"/>
        <w:jc w:val="left"/>
        <w:textAlignment w:val="center"/>
        <w:rPr>
          <w:color w:val="000000"/>
        </w:rPr>
      </w:pPr>
      <w:r>
        <w:rPr>
          <w:color w:val="000000"/>
        </w:rPr>
        <w:t>（3）</w:t>
      </w:r>
      <w:r>
        <w:rPr>
          <w:rFonts w:ascii="宋体" w:hAnsi="宋体" w:eastAsia="宋体" w:cs="宋体"/>
          <w:color w:val="000000"/>
        </w:rPr>
        <w:t>从</w:t>
      </w:r>
      <w:r>
        <w:rPr>
          <w:rFonts w:ascii="Times New Roman" w:hAnsi="Times New Roman" w:eastAsia="Times New Roman" w:cs="Times New Roman"/>
          <w:color w:val="000000"/>
        </w:rPr>
        <w:t>“</w:t>
      </w:r>
      <w:r>
        <w:rPr>
          <w:rFonts w:ascii="宋体" w:hAnsi="宋体" w:eastAsia="宋体" w:cs="宋体"/>
          <w:color w:val="000000"/>
        </w:rPr>
        <w:t>藏粮于地</w:t>
      </w:r>
      <w:r>
        <w:rPr>
          <w:rFonts w:ascii="Times New Roman" w:hAnsi="Times New Roman" w:eastAsia="Times New Roman" w:cs="Times New Roman"/>
          <w:color w:val="000000"/>
        </w:rPr>
        <w:t>”</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角度给出黑钙土改良的合理措施。</w:t>
      </w:r>
    </w:p>
    <w:p w14:paraId="2A0C6F2C">
      <w:pPr>
        <w:spacing w:line="360" w:lineRule="auto"/>
        <w:jc w:val="left"/>
        <w:textAlignment w:val="center"/>
        <w:rPr>
          <w:color w:val="000000"/>
        </w:rPr>
      </w:pPr>
      <w:r>
        <w:rPr>
          <w:color w:val="000000"/>
        </w:rPr>
        <w:t xml:space="preserve">6. </w:t>
      </w:r>
      <w:r>
        <w:rPr>
          <w:rFonts w:ascii="宋体" w:hAnsi="宋体" w:eastAsia="宋体" w:cs="宋体"/>
          <w:color w:val="000000"/>
        </w:rPr>
        <w:t>阅读材料，完成下列要求。</w:t>
      </w:r>
    </w:p>
    <w:p w14:paraId="5CB14635">
      <w:pPr>
        <w:spacing w:line="360" w:lineRule="auto"/>
        <w:ind w:firstLine="420"/>
        <w:jc w:val="left"/>
        <w:textAlignment w:val="center"/>
        <w:rPr>
          <w:color w:val="000000"/>
        </w:rPr>
      </w:pPr>
      <w:r>
        <w:rPr>
          <w:rFonts w:ascii="楷体" w:hAnsi="楷体" w:eastAsia="楷体" w:cs="楷体"/>
          <w:color w:val="000000"/>
        </w:rPr>
        <w:t>滨里海盆地南邻里海，东邻乌拉尔山，油气资源丰富。盆地东部发育一套巨厚盐层，在乌拉尔造山运动产生的区域挤压力和上覆地层差异压力等共同作用下，盐发生塑性流动，导致盐底辟构造形成（图）。盐层不仅为其下伏泥灰岩（可生油气且可储油气）中的油气藏提供了优质封盖层，也为其上覆砂岩（不生油气但可储油气）中的油气藏提供了封堵条件。</w:t>
      </w:r>
    </w:p>
    <w:p w14:paraId="61DADC81">
      <w:pPr>
        <w:spacing w:line="360" w:lineRule="auto"/>
        <w:jc w:val="left"/>
        <w:textAlignment w:val="center"/>
        <w:rPr>
          <w:color w:val="000000"/>
        </w:rPr>
      </w:pPr>
      <w:r>
        <w:rPr>
          <w:color w:val="000000"/>
        </w:rPr>
        <w:drawing>
          <wp:inline distT="0" distB="0" distL="114300" distR="114300">
            <wp:extent cx="4953000" cy="2524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953000" cy="2524125"/>
                    </a:xfrm>
                    <a:prstGeom prst="rect">
                      <a:avLst/>
                    </a:prstGeom>
                  </pic:spPr>
                </pic:pic>
              </a:graphicData>
            </a:graphic>
          </wp:inline>
        </w:drawing>
      </w:r>
    </w:p>
    <w:p w14:paraId="0D8C4ED9">
      <w:pPr>
        <w:spacing w:line="360" w:lineRule="auto"/>
        <w:jc w:val="left"/>
        <w:textAlignment w:val="center"/>
        <w:rPr>
          <w:color w:val="000000"/>
        </w:rPr>
      </w:pPr>
      <w:r>
        <w:rPr>
          <w:color w:val="000000"/>
        </w:rPr>
        <w:t>（1）</w:t>
      </w:r>
      <w:r>
        <w:rPr>
          <w:rFonts w:ascii="宋体" w:hAnsi="宋体" w:eastAsia="宋体" w:cs="宋体"/>
          <w:color w:val="000000"/>
        </w:rPr>
        <w:t>据图说明滨里海盆地东部盐底辟构造的形成过程。</w:t>
      </w:r>
    </w:p>
    <w:p w14:paraId="19893964">
      <w:pPr>
        <w:spacing w:line="360" w:lineRule="auto"/>
        <w:jc w:val="left"/>
        <w:textAlignment w:val="center"/>
        <w:rPr>
          <w:color w:val="000000"/>
        </w:rPr>
      </w:pPr>
      <w:r>
        <w:rPr>
          <w:color w:val="000000"/>
        </w:rPr>
        <w:t>（2）</w:t>
      </w:r>
      <w:r>
        <w:rPr>
          <w:rFonts w:ascii="宋体" w:hAnsi="宋体" w:eastAsia="宋体" w:cs="宋体"/>
          <w:color w:val="000000"/>
        </w:rPr>
        <w:t>从成因和发育过程角度，尝试定义</w:t>
      </w:r>
      <w:r>
        <w:rPr>
          <w:rFonts w:ascii="Times New Roman" w:hAnsi="Times New Roman" w:eastAsia="Times New Roman" w:cs="Times New Roman"/>
          <w:color w:val="000000"/>
        </w:rPr>
        <w:t>“</w:t>
      </w:r>
      <w:r>
        <w:rPr>
          <w:rFonts w:ascii="宋体" w:hAnsi="宋体" w:eastAsia="宋体" w:cs="宋体"/>
          <w:color w:val="000000"/>
        </w:rPr>
        <w:t>盐底辟构造</w:t>
      </w:r>
      <w:r>
        <w:rPr>
          <w:rFonts w:ascii="Times New Roman" w:hAnsi="Times New Roman" w:eastAsia="Times New Roman" w:cs="Times New Roman"/>
          <w:color w:val="000000"/>
        </w:rPr>
        <w:t>”</w:t>
      </w:r>
      <w:r>
        <w:rPr>
          <w:rFonts w:ascii="宋体" w:hAnsi="宋体" w:eastAsia="宋体" w:cs="宋体"/>
          <w:color w:val="000000"/>
        </w:rPr>
        <w:t>。</w:t>
      </w:r>
    </w:p>
    <w:p w14:paraId="2EAC53D1">
      <w:pPr>
        <w:spacing w:line="360" w:lineRule="auto"/>
        <w:jc w:val="left"/>
        <w:textAlignment w:val="center"/>
        <w:rPr>
          <w:color w:val="000000"/>
        </w:rPr>
      </w:pPr>
      <w:r>
        <w:rPr>
          <w:color w:val="000000"/>
        </w:rPr>
        <w:t>（3）</w:t>
      </w:r>
      <w:r>
        <w:rPr>
          <w:rFonts w:ascii="宋体" w:hAnsi="宋体" w:eastAsia="宋体" w:cs="宋体"/>
          <w:color w:val="000000"/>
        </w:rPr>
        <w:t>在图（</w:t>
      </w:r>
      <w:r>
        <w:rPr>
          <w:rFonts w:ascii="Times New Roman" w:hAnsi="Times New Roman" w:eastAsia="Times New Roman" w:cs="Times New Roman"/>
          <w:color w:val="000000"/>
        </w:rPr>
        <w:t>b</w:t>
      </w:r>
      <w:r>
        <w:rPr>
          <w:rFonts w:ascii="宋体" w:hAnsi="宋体" w:eastAsia="宋体" w:cs="宋体"/>
          <w:color w:val="000000"/>
        </w:rPr>
        <w:t>）地层中，存在由盐层封堵（盖）而利于油气成藏的部位，请用</w:t>
      </w:r>
      <w:r>
        <w:rPr>
          <w:rFonts w:ascii="Times New Roman" w:hAnsi="Times New Roman" w:eastAsia="Times New Roman" w:cs="Times New Roman"/>
          <w:color w:val="000000"/>
        </w:rPr>
        <w:t>“●”</w:t>
      </w:r>
      <w:r>
        <w:rPr>
          <w:rFonts w:ascii="宋体" w:hAnsi="宋体" w:eastAsia="宋体" w:cs="宋体"/>
          <w:color w:val="000000"/>
        </w:rPr>
        <w:t>在盐层中的上覆地层和下伏地层中各标出一个来。</w:t>
      </w:r>
    </w:p>
    <w:p w14:paraId="3F7F78AA">
      <w:pPr>
        <w:spacing w:line="360" w:lineRule="auto"/>
        <w:jc w:val="left"/>
        <w:textAlignment w:val="center"/>
        <w:rPr>
          <w:color w:val="000000"/>
        </w:rPr>
      </w:pPr>
      <w:r>
        <w:rPr>
          <w:color w:val="000000"/>
        </w:rPr>
        <w:br w:type="textWrapping"/>
      </w:r>
    </w:p>
    <w:p w14:paraId="7B97286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5D0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2DCF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907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0D5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09C4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EC5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420A43"/>
    <w:rsid w:val="38274566"/>
    <w:rsid w:val="38806B8F"/>
    <w:rsid w:val="587B4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3</Pages>
  <Words>1262</Words>
  <Characters>1319</Characters>
  <Lines>0</Lines>
  <Paragraphs>0</Paragraphs>
  <TotalTime>0</TotalTime>
  <ScaleCrop>false</ScaleCrop>
  <LinksUpToDate>false</LinksUpToDate>
  <CharactersWithSpaces>1358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853BC9D0E5FF41D9BF598CD8B3545183_12</vt:lpwstr>
  </property>
</Properties>
</file>