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6E5C5">
      <w:pPr>
        <w:spacing w:line="285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10858500</wp:posOffset>
            </wp:positionV>
            <wp:extent cx="469900" cy="419100"/>
            <wp:effectExtent l="0" t="0" r="635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1A46F286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年湖北省普通高中学业水平选择性考试</w:t>
      </w:r>
    </w:p>
    <w:p w14:paraId="547DF3A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4B0FB1F9">
      <w:pPr>
        <w:spacing w:line="285" w:lineRule="auto"/>
        <w:ind w:firstLine="480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题。全卷满分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99CB10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★祝考试顺利★</w:t>
      </w:r>
    </w:p>
    <w:p w14:paraId="2BF6075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5AC2CBF">
      <w:pPr>
        <w:spacing w:line="285" w:lineRule="auto"/>
        <w:ind w:firstLine="480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．答题前，先将自己的姓名、准考证号、考场号、座位号填写在试卷和答题卡上，并认真核准准考证号条形码上的以上信息，将条形码粘贴在答题卡上的指定位置。</w:t>
      </w:r>
    </w:p>
    <w:p w14:paraId="25129407">
      <w:pPr>
        <w:spacing w:line="285" w:lineRule="auto"/>
        <w:ind w:firstLine="480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．请按题号顺序在答题卡上各题目的答题区域内作答，写在试卷、草稿纸和答题卡上的非答题区域均无效。</w:t>
      </w:r>
    </w:p>
    <w:p w14:paraId="6825E702">
      <w:pPr>
        <w:spacing w:line="285" w:lineRule="auto"/>
        <w:ind w:firstLine="480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铅笔在答题卡上把所选答案的标号涂黑；非选择题用黑色签字笔在答题卡上作答；字体工整，笔迹清楚。</w:t>
      </w:r>
    </w:p>
    <w:p w14:paraId="0CDA5C25">
      <w:pPr>
        <w:spacing w:line="285" w:lineRule="auto"/>
        <w:ind w:firstLine="480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．考试结束后，请将试卷和答题卡一并上交。</w:t>
      </w:r>
    </w:p>
    <w:p w14:paraId="6A150A4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020D1B9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“看樱花，到武大”。每年三月，成千上万游客的浪漫约定，就是到樱顶赏珞樱。#武大樱花开了吗#这一关于武汉大学樱花花期的话题频频登上热搜。樱花盛开时节，樱花大道洁白如雪，灿若云霞，珞樱缤纷，美不胜收。根据物候学理论，气候条件对植物开花早晚有重要影响。下表反映1947～2022年武汉大学樱花花期的变化情况。如图示意武汉大学樱花景观。据此完成下面小题。</w:t>
      </w:r>
    </w:p>
    <w:p w14:paraId="6B561727">
      <w:pPr>
        <w:spacing w:line="360" w:lineRule="auto"/>
        <w:jc w:val="left"/>
      </w:pPr>
      <w:r>
        <w:drawing>
          <wp:inline distT="0" distB="0" distL="114300" distR="114300">
            <wp:extent cx="3190875" cy="2143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4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500"/>
        <w:gridCol w:w="1500"/>
      </w:tblGrid>
      <w:tr w14:paraId="358B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16B25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年份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0320C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平均十年开花日期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00AA1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平均十年落花日期</w:t>
            </w:r>
          </w:p>
        </w:tc>
      </w:tr>
      <w:tr w14:paraId="4F95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35762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1947～1956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DB7BF4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3月22日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4520C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4月2日</w:t>
            </w:r>
          </w:p>
        </w:tc>
      </w:tr>
      <w:tr w14:paraId="32ED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88A33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1957～1966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60B3A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3月21日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E9E9F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4月2日</w:t>
            </w:r>
          </w:p>
        </w:tc>
      </w:tr>
      <w:tr w14:paraId="730E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0182B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1967～1976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6DF70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3月23日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21201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4月5日</w:t>
            </w:r>
          </w:p>
        </w:tc>
      </w:tr>
      <w:tr w14:paraId="0F6D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3D26A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1977～1986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2D255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3月18日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79F734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4月1日</w:t>
            </w:r>
          </w:p>
        </w:tc>
      </w:tr>
      <w:tr w14:paraId="426D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0F3B4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1987～1996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123D55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3月13日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A0569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4月1日</w:t>
            </w:r>
          </w:p>
        </w:tc>
      </w:tr>
      <w:tr w14:paraId="4BC2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4B707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1997～2006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518178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3月13日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455E6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3月31日</w:t>
            </w:r>
          </w:p>
        </w:tc>
      </w:tr>
      <w:tr w14:paraId="6B1F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6B118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2007～2016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BA94E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3月12日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AAD2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3月28日</w:t>
            </w:r>
          </w:p>
        </w:tc>
      </w:tr>
      <w:tr w14:paraId="5834B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7F101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2017～2022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4EFD50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3月9日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37CBD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3月25日</w:t>
            </w:r>
          </w:p>
        </w:tc>
      </w:tr>
    </w:tbl>
    <w:p w14:paraId="519127F3">
      <w:pPr>
        <w:spacing w:line="360" w:lineRule="auto"/>
        <w:jc w:val="left"/>
      </w:pPr>
    </w:p>
    <w:p w14:paraId="6CF5FA98">
      <w:pPr>
        <w:spacing w:line="360" w:lineRule="auto"/>
        <w:jc w:val="left"/>
        <w:textAlignment w:val="center"/>
        <w:rPr>
          <w:color w:val="auto"/>
        </w:rPr>
      </w:pPr>
      <w:r>
        <w:t>1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据上表数据分析可知，武汉大学樱花绽放日期总体上（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4A15F0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显著提前，但花期更短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显著提前，但花期更长</w:t>
      </w:r>
    </w:p>
    <w:p w14:paraId="5C4F1A1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明显推迟，但花期更短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明显推迟，但花期更长</w:t>
      </w:r>
    </w:p>
    <w:p w14:paraId="32359406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推测影响武汉大学樱花开花早晚的主要气象因素是（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C0C79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气温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气压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降水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日照</w:t>
      </w:r>
    </w:p>
    <w:p w14:paraId="52B75549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武汉大学作为全国知名度极高的赏樱地，其独特魅力在于（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231CA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自然环境优美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基础设施完善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人文底蕴深厚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学术大师云集</w:t>
      </w:r>
    </w:p>
    <w:p w14:paraId="2997B7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不同类型食物的碳足迹差异显著。图1示意某市1978～2015年食物消费结构变化。图2示意该市同期消费的食物产生的碳足迹结构变化。据此完成下面小题。</w:t>
      </w:r>
    </w:p>
    <w:p w14:paraId="34605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93595"/>
            <wp:effectExtent l="0" t="0" r="0" b="190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3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BA678">
      <w:pPr>
        <w:spacing w:line="360" w:lineRule="auto"/>
        <w:ind w:firstLine="189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 xml:space="preserve">1                                      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5BEB8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该市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宋体" w:hAnsi="宋体" w:eastAsia="宋体" w:cs="宋体"/>
          <w:color w:val="000000"/>
        </w:rPr>
        <w:t>年食物消费结构变化特点主要表现为（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888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植物源食物占比逐渐下降，动物源食物占比逐渐上升</w:t>
      </w:r>
    </w:p>
    <w:p w14:paraId="5B9E1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植物源食物占比逐渐下降，动物源食物占比同步下降</w:t>
      </w:r>
    </w:p>
    <w:p w14:paraId="3EA672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植物源食物占比逐渐上升，动物源食物占比同步上升</w:t>
      </w:r>
    </w:p>
    <w:p w14:paraId="0C9A9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植物源食物占比逐渐上升，动物源食物占比逐渐下降</w:t>
      </w:r>
    </w:p>
    <w:p w14:paraId="7FFF9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碳足迹系数为某类食物产生的碳足迹与该类食物的消费量之比。下列食物中碳足迹系数最大的是（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391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粮食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蔬菜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禽肉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畜肉</w:t>
      </w:r>
    </w:p>
    <w:p w14:paraId="72DF5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倡导绿色低碳生活，可行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饮食方式有（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EEDF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①保证营养需求的同时，将动物源食物消费保持在合理范围</w:t>
      </w:r>
    </w:p>
    <w:p w14:paraId="3102C3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②保持动物源食物占比，由水产品消费大幅度转向畜肉消费</w:t>
      </w:r>
    </w:p>
    <w:p w14:paraId="34C6E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②减少水果、蔬菜和禽肉的消费，增加畜肉消费</w:t>
      </w:r>
    </w:p>
    <w:p w14:paraId="29C64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④增加水果、蔬菜和禽肉的消费，减少畜肉消费</w:t>
      </w:r>
    </w:p>
    <w:p w14:paraId="6FF367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EE372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如图为四个大城市的街道方向玫瑰图。不同方向的长度，代表该方向街道出现的相对频率。据此完成下面小题。</w:t>
      </w:r>
    </w:p>
    <w:p w14:paraId="6C67D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05375" cy="1333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9C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推测图中最容易迷路的城市是（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0752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夏洛特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温哥华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迪拜</w:t>
      </w:r>
    </w:p>
    <w:p w14:paraId="3780F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由图可知，以下描述合理的是（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17DF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上海街道密度和平均宽度最大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夏洛特街道面积最大</w:t>
      </w:r>
    </w:p>
    <w:p w14:paraId="13FE2F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温哥华街道网络大致呈“棋盘状”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迪拜街道总长度最长</w:t>
      </w:r>
    </w:p>
    <w:p w14:paraId="1C2C2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影响上海街道主要方向形成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关键自然因素是（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4FA4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河流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植被</w:t>
      </w:r>
    </w:p>
    <w:p w14:paraId="329C9D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川盆地西南缘严重缺水区地下水多咸水。该区砂岩与泥岩（含盐多）交替分布，具有“丘坡补给、谷地排泄”的特点。研究发现，地下水排泄条件好，盐分不易积累，发育淡水；反之则发育咸水。如图示意不同丘坡地下水排泄条件。据此完成下面小题。</w:t>
      </w:r>
    </w:p>
    <w:p w14:paraId="02E3F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73810"/>
            <wp:effectExtent l="0" t="0" r="0" b="254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6C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据图分析，下列情况中，地下水排泄条件最好的是（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4A9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顺向坡，岩层倾角小于坡度角，有地下水出露地表</w:t>
      </w:r>
    </w:p>
    <w:p w14:paraId="552EB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顺向坡，岩层倾角大于坡度角，无地下水出露地表</w:t>
      </w:r>
    </w:p>
    <w:p w14:paraId="4BFB7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逆向坡，岩层倾角小于坡度角，有地下水出露地表</w:t>
      </w:r>
    </w:p>
    <w:p w14:paraId="4F72C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逆向坡，岩层倾角大于坡度角，无地下水出露地表</w:t>
      </w:r>
    </w:p>
    <w:p w14:paraId="14E97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图中所示的四个钻孔中可打出淡水的是（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577E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0B57A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为保证水质优良、水量充足，该区地下水开采的最优策略是（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47E4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在断裂带附近开采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在不同岩性区域均匀开采</w:t>
      </w:r>
    </w:p>
    <w:p w14:paraId="2AB144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在含泥岩地层开采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在井深较浅处分散式开采</w:t>
      </w:r>
    </w:p>
    <w:p w14:paraId="33098B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科研小组利用多套测风系统，观测记录了敦煌绿洲边缘某年沙漠风和绿洲风的风速、风向与频次，并对表层沙粒采样分析。结果发现，当地冬季白天以沙漠风为主，晚上沙漠风和绿洲风频次相当；自沙漠向绿洲方向风速呈减小趋势，绿洲风风速衰减幅度比沙漠风小。如图示意采样点及其沙粒分选系数。据此完成下面小题。</w:t>
      </w:r>
    </w:p>
    <w:p w14:paraId="21D5D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076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62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沿采样点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方向，沙粒（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F003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分选性由好变差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平均粒径由细到粗</w:t>
      </w:r>
    </w:p>
    <w:p w14:paraId="5DC481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分选性由差变好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平均粒径由粗到细</w:t>
      </w:r>
    </w:p>
    <w:p w14:paraId="66854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关于当地冬季昼夜主要风向成因的说法，合理的是（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ACD2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冬季白天，绿洲“冷岛效应”显著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冬季白天，绿洲“热岛效应”显著</w:t>
      </w:r>
    </w:p>
    <w:p w14:paraId="58FAAA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冬季夜晚，绿洲“冷岛效应”显著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冬季夜晚，绿洲“热岛效应”显著</w:t>
      </w:r>
    </w:p>
    <w:p w14:paraId="79034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绿洲风对当地绿洲生态环境改善明显，是因为绿洲风有利于（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2C91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降低绿洲居住区噪音污染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给绿洲地区带来丰富的降水</w:t>
      </w:r>
    </w:p>
    <w:p w14:paraId="25A345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沙物质从绿洲运移回沙漠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增加绿洲地区阳光照射强度</w:t>
      </w:r>
    </w:p>
    <w:p w14:paraId="6A639E3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7C10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042B52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云南省昭通市平均海拔1950米，有汉、彝、回、苗等25个民族630万人，是一个集“山区、革命老区、民族散杂区”为一体的农业大市，辖9县1市1区。当地充分利用得天独厚的原生态自然条件，创新发展模式，精心打造县域特色产业基地，大力发展苹果、竹、马铃薯、天麻、花椒、特色养殖等六大高原特色农业。近年来，昭通市积极发展乡村新业态，着力打造“云中苗寨”“坝上花海”等致富示范工程。如图示意昭通市不同县域特色产业分布。</w:t>
      </w:r>
    </w:p>
    <w:p w14:paraId="58BBB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28479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D9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说明昭通市发展高原特色农业的有利自然条件。</w:t>
      </w:r>
    </w:p>
    <w:p w14:paraId="5D321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归纳昭通市特色产业发展模式，并简述采用该模式发展高原特色农业的好处。</w:t>
      </w:r>
    </w:p>
    <w:p w14:paraId="422808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请你为昭通市基于资源和区位优势发展乡村新业态提出合理化建议。</w:t>
      </w:r>
    </w:p>
    <w:p w14:paraId="18F65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6813FD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宁夏古灌溉工程遗产拥有庞大完整的灌溉渠系，为黄河灌区内的农业发展提供了完善的水利保障。宁夏古渠在两千多年的发展历程中，兴废靡繁，延用至今，展示了古人治水修渠的高超智慧，衍生出独特的灌溉文化，成就了“天下黄河富宁夏”的引黄灌溉传奇。如图示意宁夏古渠时空格局演变。</w:t>
      </w:r>
    </w:p>
    <w:p w14:paraId="420F4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32861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19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简述宁夏古渠时空演变特征。</w:t>
      </w:r>
    </w:p>
    <w:p w14:paraId="52385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说明宁夏古渠演变对灌区城镇分布与发展的影响。</w:t>
      </w:r>
    </w:p>
    <w:p w14:paraId="67768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从宁夏古渠引黄灌溉视角，谈谈你对“天下黄河富宁夏”这句话的理解。</w:t>
      </w:r>
    </w:p>
    <w:p w14:paraId="617E4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阅读图文材料，完成下列要求。</w:t>
      </w:r>
    </w:p>
    <w:p w14:paraId="13F388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全球变暖的今天，北极正上演着“放大器”的戏法，其变化往往是全球平均水平的数倍。升温促使北极地区水汽含量增加，并带来降水增多，水循环过程深受影响。育空河是北极地区的主要河流之一，该河流域96%被冻土覆盖，冬季降水常以积雪形式存在。观测数据表明，育空河流域多年冻土退化深度与降雨量显著相关，降雨量每增加1厘米，多年冻土退化深度增加约0.7厘米。这些变化，使流域径流过程变化显著。1980～2019年，育空河年均径流量呈增加趋势，且冬季增幅最大，达16%。如图示意育空河流域径流过程变化的主要途径。</w:t>
      </w:r>
    </w:p>
    <w:p w14:paraId="3D06F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23145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47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说明全球变暖背景下育空河流域不同冻土层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变化特点。</w:t>
      </w:r>
    </w:p>
    <w:p w14:paraId="1D772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简述全球变暖背景下育空河径流量增加的途径。</w:t>
      </w:r>
    </w:p>
    <w:p w14:paraId="54663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宋体" w:hAnsi="宋体" w:eastAsia="宋体" w:cs="宋体"/>
          <w:color w:val="000000"/>
        </w:rPr>
        <w:t>年育空河径流量冬季增幅最大的原因。</w:t>
      </w:r>
    </w:p>
    <w:p w14:paraId="6DA54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696494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8F6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FDD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D523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010E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E03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0C0E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DF7F38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B64FAF"/>
    <w:rsid w:val="38274566"/>
    <w:rsid w:val="40C9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2853</Words>
  <Characters>3049</Characters>
  <Lines>0</Lines>
  <Paragraphs>0</Paragraphs>
  <TotalTime>0</TotalTime>
  <ScaleCrop>false</ScaleCrop>
  <LinksUpToDate>false</LinksUpToDate>
  <CharactersWithSpaces>3261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2026-02-10T06:37:00Z</dcterms:created>
  <dc:creator>Administrator</dc:creator>
  <cp:lastModifiedBy>上帝掷骰子吗</cp:lastModifiedBy>
  <dcterms:modified xsi:type="dcterms:W3CDTF">2026-02-10T06:55:43Z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2BF1CF2EC7884B0D8DD60D3EE791AAA6_12</vt:lpwstr>
  </property>
</Properties>
</file>