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2E43F">
      <w:pPr>
        <w:spacing w:line="285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10579100</wp:posOffset>
            </wp:positionV>
            <wp:extent cx="457200" cy="469900"/>
            <wp:effectExtent l="0" t="0" r="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0B83C3FB">
      <w:pPr>
        <w:spacing w:line="285" w:lineRule="auto"/>
        <w:jc w:val="center"/>
        <w:rPr>
          <w:rFonts w:hint="eastAsia" w:eastAsia="宋体"/>
          <w:lang w:eastAsia="zh-CN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年通高等学校招生选择性考试</w:t>
      </w:r>
      <w:r>
        <w:rPr>
          <w:rFonts w:hint="eastAsia" w:ascii="宋体" w:hAnsi="宋体" w:cs="宋体"/>
          <w:b/>
          <w:color w:val="auto"/>
          <w:sz w:val="32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32"/>
          <w:lang w:val="en-US" w:eastAsia="zh-CN"/>
        </w:rPr>
        <w:t>辽宁卷</w:t>
      </w:r>
      <w:r>
        <w:rPr>
          <w:rFonts w:hint="eastAsia" w:ascii="宋体" w:hAnsi="宋体" w:cs="宋体"/>
          <w:b/>
          <w:color w:val="auto"/>
          <w:sz w:val="32"/>
          <w:lang w:eastAsia="zh-CN"/>
        </w:rPr>
        <w:t>）</w:t>
      </w:r>
    </w:p>
    <w:p w14:paraId="76486E6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</w:t>
      </w:r>
    </w:p>
    <w:p w14:paraId="0D3D4D21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页。考试结束后，将本试卷和答题卡一并交回。</w:t>
      </w:r>
    </w:p>
    <w:p w14:paraId="64F7DE7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．答题前，考生先将自己的姓名、准考证号码填写清楚，将条形码准确粘贴在考生信息条形码粘贴区。</w:t>
      </w:r>
    </w:p>
    <w:p w14:paraId="6349DFF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铅笔填涂：非选择题必须使用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毫米黑色字迹的签字笔书写，字体工整、笔迹清楚。</w:t>
      </w:r>
    </w:p>
    <w:p w14:paraId="5DCBBC42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．请按照题号顺序在答题卡各题目的答题区域内作答，超出答题区域书写的答案无效：在草稿纸、试卷上答题无效。</w:t>
      </w:r>
    </w:p>
    <w:p w14:paraId="17BD664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．作图可先使用铅笔画出，确定后必须用黑色字迹的签字笔描黑。</w:t>
      </w:r>
    </w:p>
    <w:p w14:paraId="0CE575D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．保持卡面清洁，不要折叠，不要弄破、弄皱，不准使用涂改液、修正带、刮纸刀。</w:t>
      </w:r>
    </w:p>
    <w:p w14:paraId="489AED67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2F35573B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液化天然气接收站是接卸和存储船运液化天然气的能源基础设施，通过管道等方式将天然气外输到消费地，具有调峰保供的功能。江苏盐城接收站建在滨海港区内的滩涂上，是全球一次性建成的规模最大接收站，2022年9月开始运营。该站包括专用泊位、管网和10座大型储罐等，占地面积较大。接收站还规划建设冷能利用、燃气发电和制氢等附属设施。据此完成下面小题。</w:t>
      </w:r>
    </w:p>
    <w:p w14:paraId="407F203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盐城接收站高效运营的必要条件是（   ）</w:t>
      </w:r>
    </w:p>
    <w:p w14:paraId="069D362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本地能源消费增长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能源消费峰谷差大</w:t>
      </w:r>
    </w:p>
    <w:p w14:paraId="623F1C8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航道防淤清淤保障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港区外可用地充足</w:t>
      </w:r>
    </w:p>
    <w:p w14:paraId="1C4281D8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盐城接收站将建设附属设施是为了（   ）</w:t>
      </w:r>
    </w:p>
    <w:p w14:paraId="70F8274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保障区域能源供给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提高能源利用效率</w:t>
      </w:r>
    </w:p>
    <w:p w14:paraId="2CF55E5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减少温室气体排放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优化一次能源结构</w:t>
      </w:r>
    </w:p>
    <w:p w14:paraId="19201A05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能够提升盐城接收站天然气调峰保供能力的是（   ）</w:t>
      </w:r>
    </w:p>
    <w:p w14:paraId="4E38537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扩建专用泊位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接入干线管网</w:t>
      </w:r>
    </w:p>
    <w:p w14:paraId="15BDF8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扩展外输方式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增加存储规模</w:t>
      </w:r>
    </w:p>
    <w:p w14:paraId="397ACB6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塿土主要分布于陕西关中盆地，是自然土壤在数千年耕作过程中经粪土堆垫改良形成的人为土。在剖面上覆盖层与原土壤层叠置，形似“楼层”（如图）。其中，黏化层质地黏重、呈褐色或红褐色。据此完成下面小题。</w:t>
      </w:r>
    </w:p>
    <w:p w14:paraId="638257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0225" cy="20383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6E9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粪土堆垫的主要目的是增加土壤（   ）</w:t>
      </w:r>
    </w:p>
    <w:p w14:paraId="4CB093F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①水分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②孔隙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③矿物质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④腐殖质</w:t>
      </w:r>
    </w:p>
    <w:p w14:paraId="27E26B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618B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黏化层形成时期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气候特征是（   ）</w:t>
      </w:r>
    </w:p>
    <w:p w14:paraId="02A47A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冷干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冷湿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暖干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暖湿</w:t>
      </w:r>
    </w:p>
    <w:p w14:paraId="76B4B28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埃森登机场曾是墨尔本近郊的综合性国际机场。1971年，墨尔本新机场投入运营，埃森登机场转变为以公务、商务、紧急救援等职能为主的专用机场。随着机场职能的改变，埃森登机场区域利用自身区位优势，将航空与城市商业融合，成为墨尔本西北部新兴商业中心，逐步发展为“空港城市”。据此完成下面小题。</w:t>
      </w:r>
    </w:p>
    <w:p w14:paraId="7D53AF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埃森登机场作为专用机场，以下最可能成为其客源的行业是（   ）</w:t>
      </w:r>
    </w:p>
    <w:p w14:paraId="74D3AE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金融服务业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仓储物流业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批发零售业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休闲旅游业</w:t>
      </w:r>
    </w:p>
    <w:p w14:paraId="1F5082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埃森登机场区域发展成为墨尔本西北部新兴商业中心的有利条件是（   ）</w:t>
      </w:r>
    </w:p>
    <w:p w14:paraId="4D72DD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①市场规模较大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②基础设施完备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③劳动力价格低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④空陆交通便捷</w:t>
      </w:r>
    </w:p>
    <w:p w14:paraId="4897FB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FF1B7F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河谷演化过程中，受坡度、地下水位、地表组成物质等因素的影响，植被会发生地方性分异，各地貌位置的植被处于向地带性植被（与气候相适应的稳定性植被）演替的不同阶段。如图示意暖温带湿润季风气候区某河谷地貌形态。据此完成下面小题。</w:t>
      </w:r>
    </w:p>
    <w:p w14:paraId="516CBE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2085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F5F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图中现存植被最接近地带性植被的地貌位置是（   ）</w:t>
      </w:r>
    </w:p>
    <w:p w14:paraId="2C2007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</w:t>
      </w:r>
    </w:p>
    <w:p w14:paraId="5C9595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如果流域整体构造抬升，最早演替为地带性植被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）</w:t>
      </w:r>
    </w:p>
    <w:p w14:paraId="2A8320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河漫滩草甸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洪积扇灌丛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沟谷沼泽林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分水岭疏林</w:t>
      </w:r>
    </w:p>
    <w:p w14:paraId="13F7C8E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专业服务在美国属于高技术产业部门，为其他部门或消费者提供（咨询、法律、计算机等）专业知识与技术服务。通常，专业服务集聚分布于中央商务区。如图示意部分高技术产业部门在纳什维尔大都市区的集聚分布状况。据此完成下面小题。</w:t>
      </w:r>
    </w:p>
    <w:p w14:paraId="43A0A28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1704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D2F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与集聚在中央商务区相比，纳什维尔的专业服务集聚地（   ）</w:t>
      </w:r>
    </w:p>
    <w:p w14:paraId="0067DF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人才更充裕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交通更便利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租金成本更低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服务对象更多</w:t>
      </w:r>
    </w:p>
    <w:p w14:paraId="4EA23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纳什维尔专业服务的集聚能够（   ）</w:t>
      </w:r>
    </w:p>
    <w:p w14:paraId="15E8EA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带动新的商务中心形成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促使生物技术公司集聚地北移</w:t>
      </w:r>
    </w:p>
    <w:p w14:paraId="72C6A3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带动新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人口核心形成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促使通信技术公司集聚地南移</w:t>
      </w:r>
    </w:p>
    <w:p w14:paraId="3040751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体性质、运动和库区环境等因素影响水库浮游动物生物量及其分布。恰甫其海是位于新疆伊犁谷地特克斯河上的水库，周边植被以草原为主。水库消落区主要分布在南岸。如图为2019年6月和9月恰甫其海表层浮游动物生物量等值线图。据此完成下面小题。</w:t>
      </w:r>
    </w:p>
    <w:p w14:paraId="226B35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71850" cy="28384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EB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影响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月恰甫其海表层浮游动物生物量分布的主要因素是（   ）</w:t>
      </w:r>
    </w:p>
    <w:p w14:paraId="11361B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透明度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流量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营养盐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流向</w:t>
      </w:r>
    </w:p>
    <w:p w14:paraId="76106A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月恰甫其海南岸丰富的碎屑食物吸引浮游动物聚集，这些碎屑食物主要来源于（   ）</w:t>
      </w:r>
    </w:p>
    <w:p w14:paraId="5B384B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底泥扰动上浮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水位涨落携带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表层水流汇集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河川径流输入</w:t>
      </w:r>
    </w:p>
    <w:p w14:paraId="3E1D6BE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黄河三角洲村落空间形态具有明显的水适应性特征。在“河、塘、田、路、居”五因子的数量、分布等长期影响下，黄河三角洲的村落表现出团状、带状、指状3种典型空间形态。图1为黄河三角洲典型村落分布图。图2示意黄河三角洲村落空间形态。据此完成下面小题。</w:t>
      </w:r>
    </w:p>
    <w:p w14:paraId="54C9F78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48000" cy="16954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4734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45BACF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75435"/>
            <wp:effectExtent l="0" t="0" r="0" b="571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76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5B1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172563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团状村落的主要特征是（   ）</w:t>
      </w:r>
    </w:p>
    <w:p w14:paraId="2C3AC8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前邻农田，后依河堤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塘路环绕，结构分散</w:t>
      </w:r>
    </w:p>
    <w:p w14:paraId="198B30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塘田较多，零散分布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塘田包围，居路规整</w:t>
      </w:r>
    </w:p>
    <w:p w14:paraId="10137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影响带状村落主轴线和骨架形成的主导因子是（   ）</w:t>
      </w:r>
    </w:p>
    <w:p w14:paraId="412A41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河和田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河和路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路和居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路和田</w:t>
      </w:r>
    </w:p>
    <w:p w14:paraId="4FDA2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指状村落集中分布在（   ）</w:t>
      </w:r>
    </w:p>
    <w:p w14:paraId="147605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远离黄河的耕种区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临近黄河的耕种区</w:t>
      </w:r>
    </w:p>
    <w:p w14:paraId="73E606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远离黄河的盐荒区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临近黄河的盐荒区</w:t>
      </w:r>
    </w:p>
    <w:p w14:paraId="5CEFA5B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751E1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阅读文字材料，完成下列要求。</w:t>
      </w:r>
    </w:p>
    <w:p w14:paraId="54E9B03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西省偏关县地处黄土高原沟壑丘陵区，沟壑占全县总面积的47.8%。经近50年综合治理，全县绿化率由4%增加到40%。2019年，国家实施黄河流域生态保护和高质量发展战略，偏关县坚持生态优先、绿色发展，推广优质杂粮种植，建设“非笼养”蛋鸡养殖基地，不断扩大养殖规模，并积极开拓国际市场。“非笼养”蛋鸡养殖采用清洁化生产方式和国际先进的健康养殖技术，创造优良的养殖环境，满足消费者对产品质量和安全的需求。产品健康、安全、可追溯，主要供给知名餐饮企业，现已获得“非笼养”国际标识许可和出口备案审核。</w:t>
      </w:r>
    </w:p>
    <w:p w14:paraId="68D73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简述偏关县发展“非笼养”蛋鸡养殖的优势条件。</w:t>
      </w:r>
    </w:p>
    <w:p w14:paraId="28A4D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分析市场因素对偏关县“非笼养”蛋鸡养殖发展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05380172" name="图片 505380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380172" name="图片 5053801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影响。</w:t>
      </w:r>
    </w:p>
    <w:p w14:paraId="78E84C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说明“非笼养”蛋鸡养殖对偏关县绿色发展的积极作用。</w:t>
      </w:r>
    </w:p>
    <w:p w14:paraId="3D68F1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阅读图文材料，完成下列要求。</w:t>
      </w:r>
    </w:p>
    <w:p w14:paraId="7B08B86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乌波卢岛位于太平洋板块向印度洋板块俯冲带。第四纪以来，岩浆沿西北—东南向断裂间歇性喷出，形成多期火山岩。其中，Q</w:t>
      </w:r>
      <w:r>
        <w:rPr>
          <w:rFonts w:ascii="楷体" w:hAnsi="楷体" w:eastAsia="楷体" w:cs="楷体"/>
          <w:color w:val="000000"/>
          <w:vertAlign w:val="subscript"/>
        </w:rPr>
        <w:t>1</w:t>
      </w:r>
      <w:r>
        <w:rPr>
          <w:rFonts w:ascii="楷体" w:hAnsi="楷体" w:eastAsia="楷体" w:cs="楷体"/>
          <w:color w:val="000000"/>
        </w:rPr>
        <w:t>火山岩抗蚀能力较弱，Q</w:t>
      </w:r>
      <w:r>
        <w:rPr>
          <w:rFonts w:ascii="楷体" w:hAnsi="楷体" w:eastAsia="楷体" w:cs="楷体"/>
          <w:color w:val="000000"/>
          <w:vertAlign w:val="subscript"/>
        </w:rPr>
        <w:t>2</w:t>
      </w:r>
      <w:r>
        <w:rPr>
          <w:rFonts w:ascii="楷体" w:hAnsi="楷体" w:eastAsia="楷体" w:cs="楷体"/>
          <w:color w:val="000000"/>
        </w:rPr>
        <w:t>、Q</w:t>
      </w:r>
      <w:r>
        <w:rPr>
          <w:rFonts w:ascii="楷体" w:hAnsi="楷体" w:eastAsia="楷体" w:cs="楷体"/>
          <w:color w:val="000000"/>
          <w:vertAlign w:val="subscript"/>
        </w:rPr>
        <w:t>4</w:t>
      </w:r>
      <w:r>
        <w:rPr>
          <w:rFonts w:ascii="楷体" w:hAnsi="楷体" w:eastAsia="楷体" w:cs="楷体"/>
          <w:color w:val="000000"/>
        </w:rPr>
        <w:t>火山岩垂直节理和裂缝发育。各期火山岩表面土层厚度分别约为900cm、90cm、35cm。岛屿西部局部地方Q</w:t>
      </w:r>
      <w:r>
        <w:rPr>
          <w:rFonts w:ascii="楷体" w:hAnsi="楷体" w:eastAsia="楷体" w:cs="楷体"/>
          <w:color w:val="000000"/>
          <w:vertAlign w:val="subscript"/>
        </w:rPr>
        <w:t>1</w:t>
      </w:r>
      <w:r>
        <w:rPr>
          <w:rFonts w:ascii="楷体" w:hAnsi="楷体" w:eastAsia="楷体" w:cs="楷体"/>
          <w:color w:val="000000"/>
        </w:rPr>
        <w:t>火山岩出露，构成高岗。岛屿年平均降水量超过3000mm，但水资源较贫乏，其分布受岩性和地貌影响较大。图7示意乌波卢岛地形及不同时期火山岩空间分布。</w:t>
      </w:r>
    </w:p>
    <w:p w14:paraId="6D8A19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710815"/>
            <wp:effectExtent l="0" t="0" r="0" b="1333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1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21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说明乌波卢岛脊线的形成过程。</w:t>
      </w:r>
    </w:p>
    <w:p w14:paraId="7EB076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从岩性和地貌角度，分析乌波卢岛地表水资源东部多于西部的原因。</w:t>
      </w:r>
    </w:p>
    <w:p w14:paraId="0FF03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简析乌波卢岛西部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火山岩高岗形成的原因，并推断外力作用下其地形的演化。</w:t>
      </w:r>
    </w:p>
    <w:p w14:paraId="62188E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阅读图文材料，完成下列要求。</w:t>
      </w:r>
    </w:p>
    <w:p w14:paraId="4E50D7B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2～3月北半球中高纬大气环流异常，导致沙源地气候异常暖干。持续偏暖偏干对沙源地地表物质产生重要影响。沙尘强度、传输路径等又与天气系统密切相关。图1为2023年2～3月北半球部分区域海平面气压距平（相对于多年气压平均值的差值）图。图2示意2023年春季两次沙尘天气中部分城市日最高PM</w:t>
      </w:r>
      <w:r>
        <w:rPr>
          <w:rFonts w:ascii="楷体" w:hAnsi="楷体" w:eastAsia="楷体" w:cs="楷体"/>
          <w:color w:val="000000"/>
          <w:vertAlign w:val="subscript"/>
        </w:rPr>
        <w:t>10</w:t>
      </w:r>
      <w:r>
        <w:rPr>
          <w:rFonts w:ascii="楷体" w:hAnsi="楷体" w:eastAsia="楷体" w:cs="楷体"/>
          <w:color w:val="000000"/>
        </w:rPr>
        <w:t>质量浓度的变化（图2-a）和高、低压中心位置（均为当日17时）的变化（图2-b）。</w:t>
      </w:r>
    </w:p>
    <w:p w14:paraId="194864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57650" cy="18002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E9A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3527BD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359660"/>
            <wp:effectExtent l="0" t="0" r="0" b="254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5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5C8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4A776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根据海平面气压距平分布的主要特征，分析沙源地气候异常暖干的原因。</w:t>
      </w:r>
    </w:p>
    <w:p w14:paraId="719DD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说明持续偏暖偏干对沙源地地表物质的影响。</w:t>
      </w:r>
    </w:p>
    <w:p w14:paraId="495AF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据图</w:t>
      </w:r>
      <w:r>
        <w:rPr>
          <w:rFonts w:ascii="Times New Roman" w:hAnsi="Times New Roman" w:eastAsia="Times New Roman" w:cs="Times New Roman"/>
          <w:color w:val="000000"/>
        </w:rPr>
        <w:t>2-a</w:t>
      </w:r>
      <w:r>
        <w:rPr>
          <w:rFonts w:ascii="宋体" w:hAnsi="宋体" w:eastAsia="宋体" w:cs="宋体"/>
          <w:color w:val="000000"/>
        </w:rPr>
        <w:t>，指出与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月相比，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月沙尘传输强度和路径的特点，结合图</w:t>
      </w:r>
      <w:r>
        <w:rPr>
          <w:rFonts w:ascii="Times New Roman" w:hAnsi="Times New Roman" w:eastAsia="Times New Roman" w:cs="Times New Roman"/>
          <w:color w:val="000000"/>
        </w:rPr>
        <w:t>2-b</w:t>
      </w:r>
      <w:r>
        <w:rPr>
          <w:rFonts w:ascii="宋体" w:hAnsi="宋体" w:eastAsia="宋体" w:cs="宋体"/>
          <w:color w:val="000000"/>
        </w:rPr>
        <w:t>分析差异产生的原因。</w:t>
      </w:r>
    </w:p>
    <w:p w14:paraId="52FA83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095BC2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D029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31A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B599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57B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05D6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4D40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326754"/>
    <w:rsid w:val="38274566"/>
    <w:rsid w:val="64EB03F4"/>
    <w:rsid w:val="71984A77"/>
    <w:rsid w:val="784A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2896</Words>
  <Characters>3059</Characters>
  <Lines>0</Lines>
  <Paragraphs>0</Paragraphs>
  <TotalTime>0</TotalTime>
  <ScaleCrop>false</ScaleCrop>
  <LinksUpToDate>false</LinksUpToDate>
  <CharactersWithSpaces>3295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2026-02-10T06:37:00Z</dcterms:created>
  <dc:creator>Administrator</dc:creator>
  <cp:lastModifiedBy>上帝掷骰子吗</cp:lastModifiedBy>
  <dcterms:modified xsi:type="dcterms:W3CDTF">2026-02-10T06:55:46Z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BF5E2CC605DA4479BF6B6D93A48DF31C_12</vt:lpwstr>
  </property>
</Properties>
</file>