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1395DC">
      <w:pPr>
        <w:spacing w:before="0" w:after="0" w:line="359" w:lineRule="exact"/>
        <w:ind w:left="1473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年安徽省普通高中学业水平选择性地理考试</w:t>
      </w:r>
    </w:p>
    <w:p w14:paraId="79FA9AB6">
      <w:pPr>
        <w:spacing w:before="227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16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5D5AFEF4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项符合题目要求。</w:t>
      </w:r>
    </w:p>
    <w:p w14:paraId="78E453EE">
      <w:pPr>
        <w:spacing w:before="227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2025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15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日至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-7"/>
          <w:sz w:val="21"/>
        </w:rPr>
        <w:t>日，第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137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届中国进出口商品交易会在广州成功举办纺织新面料、多国语言</w:t>
      </w:r>
    </w:p>
    <w:p w14:paraId="0C4A9BC6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翻译机、机器狗等产品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圈粉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全球客商、中国制造展现出新样貌。本届交易会境外采购商到会人数同比</w:t>
      </w:r>
    </w:p>
    <w:p w14:paraId="45FE991C">
      <w:pPr>
        <w:spacing w:before="24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增长</w:t>
      </w:r>
      <w:r>
        <w:rPr>
          <w:rFonts w:ascii="Times New Roman"/>
          <w:color w:val="000000"/>
          <w:spacing w:val="0"/>
          <w:sz w:val="21"/>
        </w:rPr>
        <w:t xml:space="preserve"> 17.3%</w:t>
      </w:r>
      <w:r>
        <w:rPr>
          <w:rFonts w:ascii="楷体" w:hAnsi="楷体" w:cs="楷体"/>
          <w:color w:val="000000"/>
          <w:spacing w:val="0"/>
          <w:sz w:val="21"/>
        </w:rPr>
        <w:t>，现场意向出口成交额同比增长</w:t>
      </w:r>
      <w:r>
        <w:rPr>
          <w:rFonts w:ascii="Times New Roman"/>
          <w:color w:val="000000"/>
          <w:spacing w:val="0"/>
          <w:sz w:val="21"/>
        </w:rPr>
        <w:t xml:space="preserve"> 3%</w:t>
      </w:r>
      <w:r>
        <w:rPr>
          <w:rFonts w:ascii="楷体" w:hAnsi="楷体" w:cs="楷体"/>
          <w:color w:val="000000"/>
          <w:spacing w:val="0"/>
          <w:sz w:val="21"/>
        </w:rPr>
        <w:t>，这凸显了中国经济的强大韧性。据此完成下面小题。</w:t>
      </w:r>
    </w:p>
    <w:p w14:paraId="3190577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中国制造展现出新样貌，主要源于（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1D7792C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人力资源丰富</w:t>
      </w:r>
      <w:r>
        <w:rPr>
          <w:rFonts w:ascii="Times New Roman"/>
          <w:color w:val="000000"/>
          <w:spacing w:val="32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创新能力提升</w:t>
      </w:r>
    </w:p>
    <w:p w14:paraId="3C275B2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国际贸易增加</w:t>
      </w:r>
      <w:r>
        <w:rPr>
          <w:rFonts w:ascii="Times New Roman"/>
          <w:color w:val="000000"/>
          <w:spacing w:val="32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产业协作发展</w:t>
      </w:r>
    </w:p>
    <w:p w14:paraId="0A4A3EFC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中国经济的强大韧性主要是由于（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66547A9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①经济发展速度快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②产业链、供应链完备</w:t>
      </w:r>
    </w:p>
    <w:p w14:paraId="4EB5FF6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③国内外市场广阔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④产业结构不断高端化</w:t>
      </w:r>
    </w:p>
    <w:p w14:paraId="202EA0BF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①②③</w:t>
      </w:r>
      <w:r>
        <w:rPr>
          <w:rFonts w:ascii="Times New Roman"/>
          <w:color w:val="000000"/>
          <w:spacing w:val="39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①②④</w:t>
      </w:r>
    </w:p>
    <w:p w14:paraId="06DA9D2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①③④</w:t>
      </w:r>
      <w:r>
        <w:rPr>
          <w:rFonts w:ascii="Times New Roman"/>
          <w:color w:val="000000"/>
          <w:spacing w:val="39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②③④</w:t>
      </w:r>
    </w:p>
    <w:p w14:paraId="155D1969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春光正好，我国南方某智慧农场里，竖立田间的监测站随处可见，低空飞行的无人机正在作业。该农</w:t>
      </w:r>
    </w:p>
    <w:p w14:paraId="440F110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场智慧系统包括数字化感知、智能化决策、精准化作业、智慧化管理四个组成部分。据此完成下面小题。</w:t>
      </w:r>
    </w:p>
    <w:p w14:paraId="095DAB8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智慧农场的核心生产要素是（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A9ECBD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数据、算法</w:t>
      </w:r>
      <w:r>
        <w:rPr>
          <w:rFonts w:ascii="Times New Roman"/>
          <w:color w:val="000000"/>
          <w:spacing w:val="34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种子、肥料</w:t>
      </w:r>
    </w:p>
    <w:p w14:paraId="35F9927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农地、农机</w:t>
      </w:r>
      <w:r>
        <w:rPr>
          <w:rFonts w:ascii="Times New Roman"/>
          <w:color w:val="000000"/>
          <w:spacing w:val="347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技术、市场</w:t>
      </w:r>
    </w:p>
    <w:p w14:paraId="142B8B4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该农场智慧系统应用地理信息技术开展农田施肥作业，三者匹配合理的是（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72C7B7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数字化感知—遥感技术—确定施肥方案</w:t>
      </w:r>
      <w:r>
        <w:rPr>
          <w:rFonts w:ascii="Times New Roman"/>
          <w:color w:val="000000"/>
          <w:spacing w:val="94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智能化决策一地理信息系统一测定土壤有机质含</w:t>
      </w:r>
    </w:p>
    <w:p w14:paraId="74A59555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量</w:t>
      </w:r>
    </w:p>
    <w:p w14:paraId="163A9CE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精准化作业——全球卫星导航系统—实施定点施肥</w:t>
      </w:r>
      <w:r>
        <w:rPr>
          <w:rFonts w:ascii="Times New Roman"/>
          <w:color w:val="000000"/>
          <w:spacing w:val="7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智慧化管理—遥感技术—评估土壤肥力</w:t>
      </w:r>
    </w:p>
    <w:p w14:paraId="148C560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相较于北方，我国南方智慧农场对决策系统的多样性、灵活度要求更高，这是因为南方（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CE89F7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①耕作地貌复杂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②作物种类多样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③水热资源丰富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④农田建设标准更高</w:t>
      </w:r>
    </w:p>
    <w:p w14:paraId="1ECE2DF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①②</w:t>
      </w:r>
      <w:r>
        <w:rPr>
          <w:rFonts w:ascii="Times New Roman"/>
          <w:color w:val="000000"/>
          <w:spacing w:val="41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①③</w:t>
      </w:r>
    </w:p>
    <w:p w14:paraId="214AFF6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②④</w:t>
      </w:r>
      <w:r>
        <w:rPr>
          <w:rFonts w:ascii="Times New Roman"/>
          <w:color w:val="000000"/>
          <w:spacing w:val="41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③④</w:t>
      </w:r>
    </w:p>
    <w:p w14:paraId="5516117E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老城南地区位于南京市内城南部，经过持续更新改造，已成为城市新名片。下图示意老城南地区历史</w:t>
      </w:r>
    </w:p>
    <w:p w14:paraId="2114AEC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要素的空间分布，下表为老城南地区四种更新方式及案例。据此完成下面小题。</w:t>
      </w:r>
    </w:p>
    <w:p w14:paraId="3EB79993">
      <w:pPr>
        <w:spacing w:before="43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5D2176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6E3213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58F64DA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2A52DE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BFA0B36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2" o:spid="_x0000_s1032" o:spt="75" type="#_x0000_t75" style="position:absolute;left:0pt;margin-left:404.15pt;margin-top:72.55pt;height:2.75pt;width:2.7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116.8pt;margin-top:769.7pt;height:2.75pt;width:2.7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53pt;margin-top:72.55pt;height:205.35pt;width:194.8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47pt;margin-top:283.4pt;height:230.9pt;width:331.4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更新方式</w:t>
      </w:r>
      <w:r>
        <w:rPr>
          <w:rFonts w:ascii="Times New Roman"/>
          <w:color w:val="000000"/>
          <w:spacing w:val="341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案例</w:t>
      </w:r>
    </w:p>
    <w:p w14:paraId="16772320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复建仿古建筑群；历史文化空间的繁体仿真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夫子庙</w:t>
      </w:r>
    </w:p>
    <w:p w14:paraId="701E5524">
      <w:pPr>
        <w:spacing w:before="41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复原传统民居，发展时尚餐饮、文博展览、</w:t>
      </w:r>
    </w:p>
    <w:p w14:paraId="42A88C33">
      <w:pPr>
        <w:spacing w:before="0" w:after="0" w:line="234" w:lineRule="exact"/>
        <w:ind w:left="0" w:right="5740" w:firstLine="4307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老门东 文旅节庆等产业</w:t>
      </w:r>
    </w:p>
    <w:p w14:paraId="1735AA31">
      <w:pPr>
        <w:spacing w:before="399" w:after="0" w:line="234" w:lineRule="exact"/>
        <w:ind w:left="0" w:right="4480" w:firstLine="4307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新门西文化生态创意 改造工业遗址，创新多元化的文创业态</w:t>
      </w:r>
    </w:p>
    <w:p w14:paraId="61758981">
      <w:pPr>
        <w:spacing w:before="14" w:after="0" w:line="220" w:lineRule="exact"/>
        <w:ind w:left="4307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园</w:t>
      </w:r>
    </w:p>
    <w:p w14:paraId="72EFAB39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利用闲置名人故居、游园绿地等创建公共阅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转角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楷体" w:hAnsi="楷体" w:cs="楷体"/>
          <w:color w:val="000000"/>
          <w:spacing w:val="0"/>
          <w:sz w:val="21"/>
        </w:rPr>
        <w:t>遇见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系列空</w:t>
      </w:r>
    </w:p>
    <w:p w14:paraId="513DB34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读休憩空间</w:t>
      </w:r>
      <w:r>
        <w:rPr>
          <w:rFonts w:ascii="Times New Roman"/>
          <w:color w:val="000000"/>
          <w:spacing w:val="3204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间</w:t>
      </w:r>
    </w:p>
    <w:p w14:paraId="1C9C01D0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老城南更新成为商贸文旅区的主要优势条件是（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CCF597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位于城市中心，位置优越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文化底蕴深厚，特色鲜明</w:t>
      </w:r>
    </w:p>
    <w:p w14:paraId="1FDDA12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位于老旧城区，地价较低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发展历史悠久，商贸发达</w:t>
      </w:r>
    </w:p>
    <w:p w14:paraId="27159AD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7. </w:t>
      </w:r>
      <w:r>
        <w:rPr>
          <w:rFonts w:ascii="宋体" w:hAnsi="宋体" w:cs="宋体"/>
          <w:color w:val="000000"/>
          <w:spacing w:val="0"/>
          <w:sz w:val="21"/>
        </w:rPr>
        <w:t>“转角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宋体" w:hAnsi="宋体" w:cs="宋体"/>
          <w:color w:val="000000"/>
          <w:spacing w:val="0"/>
          <w:sz w:val="21"/>
        </w:rPr>
        <w:t>遇见”系列空间的设计意图是（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2990EE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尊重自然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提升审美情趣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增加就业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增加社会福利</w:t>
      </w:r>
    </w:p>
    <w:p w14:paraId="787E68E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老城南的城市更新方式对城市空间优化的意义主要体现在（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EDE0A4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激发城市产业活力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改善城市生态环境</w:t>
      </w:r>
    </w:p>
    <w:p w14:paraId="206A72B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优化城市职住空间</w:t>
      </w:r>
      <w:r>
        <w:rPr>
          <w:rFonts w:ascii="Times New Roman"/>
          <w:color w:val="000000"/>
          <w:spacing w:val="284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提升城市空间品质</w:t>
      </w:r>
    </w:p>
    <w:p w14:paraId="2C9A958F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勐波罗河流域（图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楷体" w:hAnsi="楷体" w:cs="楷体"/>
          <w:color w:val="000000"/>
          <w:spacing w:val="0"/>
          <w:sz w:val="21"/>
        </w:rPr>
        <w:t>）大部分位于云南省保山市，河流发源地海拔</w:t>
      </w:r>
      <w:r>
        <w:rPr>
          <w:rFonts w:ascii="Times New Roman"/>
          <w:color w:val="000000"/>
          <w:spacing w:val="0"/>
          <w:sz w:val="21"/>
        </w:rPr>
        <w:t xml:space="preserve"> 2860m</w:t>
      </w:r>
      <w:r>
        <w:rPr>
          <w:rFonts w:ascii="楷体" w:hAnsi="楷体" w:cs="楷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 xml:space="preserve">2023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9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楷体" w:hAnsi="楷体" w:cs="楷体"/>
          <w:color w:val="000000"/>
          <w:spacing w:val="0"/>
          <w:sz w:val="21"/>
        </w:rPr>
        <w:t>日该流域经</w:t>
      </w:r>
    </w:p>
    <w:p w14:paraId="484183B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历大范围短时强降雨。图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表示勐波罗河流域柯街和旧城两个水文站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9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1—5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日流量变化。据此完成下面</w:t>
      </w:r>
    </w:p>
    <w:p w14:paraId="40DD0A0F">
      <w:pPr>
        <w:spacing w:before="4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307EA1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62B15C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C3A0987">
      <w:pPr>
        <w:pStyle w:val="6"/>
        <w:sectPr>
          <w:pgSz w:w="11900" w:h="16840"/>
          <w:pgMar w:top="591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81A932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96489F8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38" o:spid="_x0000_s1038" o:spt="75" type="#_x0000_t75" style="position:absolute;left:0pt;margin-left:404.15pt;margin-top:72.55pt;height:2.75pt;width:2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212.1pt;margin-top:473.3pt;height:5.75pt;width: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116.8pt;margin-top:769.7pt;height:2.75pt;width:2.7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53pt;margin-top:93.55pt;height:225.65pt;width:293.1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68.8pt;margin-top:420.75pt;height:17pt;width:13.2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59.8pt;margin-top:459pt;height:8.75pt;width:4.2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53pt;margin-top:543.05pt;height:107.05pt;width:152.8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小题。</w:t>
      </w:r>
    </w:p>
    <w:p w14:paraId="5A52F2B7">
      <w:pPr>
        <w:spacing w:before="492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柯街站径流补给（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012754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①时以季节性积雪融水补给为主</w:t>
      </w:r>
      <w:r>
        <w:rPr>
          <w:rFonts w:ascii="Times New Roman"/>
          <w:color w:val="000000"/>
          <w:spacing w:val="16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②时以大气降水补给为主</w:t>
      </w:r>
    </w:p>
    <w:p w14:paraId="08503AA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③时以地下水补给为主</w:t>
      </w:r>
      <w:r>
        <w:rPr>
          <w:rFonts w:ascii="Times New Roman"/>
          <w:color w:val="000000"/>
          <w:spacing w:val="24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④时以冰川融水补给为主</w:t>
      </w:r>
    </w:p>
    <w:p w14:paraId="76C8D13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旧城站流量最大峰值出现时间早于柯街站，其原因可能是旧城站（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6858F53">
      <w:pPr>
        <w:spacing w:before="2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柯街站上游</w:t>
      </w:r>
      <w:r>
        <w:rPr>
          <w:rFonts w:ascii="Times New Roman"/>
          <w:color w:val="000000"/>
          <w:spacing w:val="32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受附近支流影响大</w:t>
      </w:r>
    </w:p>
    <w:p w14:paraId="7953152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雨前流量较大</w:t>
      </w:r>
      <w:r>
        <w:rPr>
          <w:rFonts w:ascii="Times New Roman"/>
          <w:color w:val="000000"/>
          <w:spacing w:val="326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流量峰值相对较大</w:t>
      </w:r>
    </w:p>
    <w:p w14:paraId="0B1ED1A9">
      <w:pPr>
        <w:spacing w:before="392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西伯利亚某山区的林线过渡带分布有树篱景观。该景观的形成多始于山坡上大石块后或微洼地内的第</w:t>
      </w:r>
    </w:p>
    <w:p w14:paraId="28FA5528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4"/>
          <w:sz w:val="21"/>
        </w:rPr>
        <w:t>一棵树（先锋树）。随后生长的植物（后生植物）种类和数量逐渐增多，整体形态呈现为条带状（下图）。</w:t>
      </w:r>
    </w:p>
    <w:p w14:paraId="2202F3FC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据此完成下面小题。</w:t>
      </w:r>
    </w:p>
    <w:p w14:paraId="311B1C64">
      <w:pPr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树篱形态的塑造主要是由于（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17B5D2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降水稀少</w:t>
      </w:r>
      <w:r>
        <w:rPr>
          <w:rFonts w:ascii="Times New Roman"/>
          <w:color w:val="000000"/>
          <w:spacing w:val="123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土层浅薄</w:t>
      </w:r>
      <w:r>
        <w:rPr>
          <w:rFonts w:ascii="Times New Roman"/>
          <w:color w:val="000000"/>
          <w:spacing w:val="12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风力强劲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光照不足</w:t>
      </w:r>
    </w:p>
    <w:p w14:paraId="7758B3B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下图示意树篱景观形成过程。图中①②③④分别代表（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5569824">
      <w:pPr>
        <w:spacing w:before="104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E589E1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7B9D73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50F9771">
      <w:pPr>
        <w:pStyle w:val="6"/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65BDF2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966D6FD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47" o:spid="_x0000_s1047" o:spt="75" type="#_x0000_t75" style="position:absolute;left:0pt;margin-left:404.15pt;margin-top:72.55pt;height:2.75pt;width:2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53pt;margin-top:385.5pt;height:158.1pt;width:286.3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116.8pt;margin-top:769.7pt;height:2.75pt;width:2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53pt;margin-top:71.8pt;height:113.8pt;width:266.1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59.8pt;margin-top:232.4pt;height:8.75pt;width:4.2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先锋树、后生植物、微生境、树篱</w:t>
      </w:r>
      <w:r>
        <w:rPr>
          <w:rFonts w:ascii="Times New Roman"/>
          <w:color w:val="000000"/>
          <w:spacing w:val="136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先锋树、微生境、树篱、后生植物</w:t>
      </w:r>
    </w:p>
    <w:p w14:paraId="1061A901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后生植物、树篱、微生境、先锋树</w:t>
      </w:r>
      <w:r>
        <w:rPr>
          <w:rFonts w:ascii="Times New Roman"/>
          <w:color w:val="000000"/>
          <w:spacing w:val="13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后生植物、先锋树、树篱、微生境</w:t>
      </w:r>
    </w:p>
    <w:p w14:paraId="26201B34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基于全球气候变化的背景，推测该山区未来最可能出现（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5F04AB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树篱分布区上移，原树篱演化为森林</w:t>
      </w:r>
      <w:r>
        <w:rPr>
          <w:rFonts w:ascii="Times New Roman"/>
          <w:color w:val="000000"/>
          <w:spacing w:val="115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树篱分布区上移，原树篱演化为苔原</w:t>
      </w:r>
    </w:p>
    <w:p w14:paraId="1AA30A0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树篱分布区下移，原树篱演化为森林</w:t>
      </w:r>
      <w:r>
        <w:rPr>
          <w:rFonts w:ascii="Times New Roman"/>
          <w:color w:val="000000"/>
          <w:spacing w:val="11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树篱分布区下移、原树篱演化为苔原</w:t>
      </w:r>
    </w:p>
    <w:p w14:paraId="008CD4E3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2020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楷体" w:hAnsi="楷体" w:cs="楷体"/>
          <w:color w:val="000000"/>
          <w:spacing w:val="0"/>
          <w:sz w:val="21"/>
        </w:rPr>
        <w:t>日前后，澳大利亚东南部发生大面积高强度森林野火，引发强烈上升气流，在一定的天</w:t>
      </w:r>
    </w:p>
    <w:p w14:paraId="78E3FEAC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气形势下，烟尘上升至对流层顶附近，形成积雨云状烟柱。下图表示该区域野火强度与积雨云状烟柱高度</w:t>
      </w:r>
    </w:p>
    <w:p w14:paraId="1846AD30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随时间变化情况。据此完成下面小题。</w:t>
      </w:r>
    </w:p>
    <w:p w14:paraId="26C8B3FE">
      <w:pPr>
        <w:spacing w:before="33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图中积雨云状烟柱最早出现时间为当地（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06C8A2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黎明前后</w:t>
      </w:r>
      <w:r>
        <w:rPr>
          <w:rFonts w:ascii="Times New Roman"/>
          <w:color w:val="000000"/>
          <w:spacing w:val="367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正午前后</w:t>
      </w:r>
    </w:p>
    <w:p w14:paraId="165F417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傍晚前后</w:t>
      </w:r>
      <w:r>
        <w:rPr>
          <w:rFonts w:ascii="Times New Roman"/>
          <w:color w:val="000000"/>
          <w:spacing w:val="36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午夜前后</w:t>
      </w:r>
    </w:p>
    <w:p w14:paraId="7CCBCC5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15. </w:t>
      </w: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1-3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日没有产生积雨云状烟柱，其原因最可能是（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A32F09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野火强度低</w:t>
      </w:r>
      <w:r>
        <w:rPr>
          <w:rFonts w:ascii="Times New Roman"/>
          <w:color w:val="000000"/>
          <w:spacing w:val="34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大气湿度高</w:t>
      </w:r>
    </w:p>
    <w:p w14:paraId="3D9027E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野火持续时间短</w:t>
      </w:r>
      <w:r>
        <w:rPr>
          <w:rFonts w:ascii="Times New Roman"/>
          <w:color w:val="000000"/>
          <w:spacing w:val="305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大气较为稳定</w:t>
      </w:r>
    </w:p>
    <w:p w14:paraId="57AEA25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积雨云状烟柱突破对流层顶，将使得（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B9E8A4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平流层气温骤降</w:t>
      </w:r>
      <w:r>
        <w:rPr>
          <w:rFonts w:ascii="Times New Roman"/>
          <w:color w:val="000000"/>
          <w:spacing w:val="3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平流层强降雨增加</w:t>
      </w:r>
    </w:p>
    <w:p w14:paraId="59B0F673">
      <w:pPr>
        <w:spacing w:before="177" w:after="0" w:line="31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大气中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/>
          <w:color w:val="000000"/>
          <w:spacing w:val="0"/>
          <w:sz w:val="21"/>
        </w:rPr>
        <w:t>CO</w:t>
      </w:r>
      <w:r>
        <w:rPr>
          <w:rFonts w:ascii="Sitka Text" w:hAnsi="Sitka Text" w:cs="Sitka Text"/>
          <w:color w:val="000000"/>
          <w:spacing w:val="6"/>
          <w:sz w:val="21"/>
        </w:rPr>
        <w:t>₂</w:t>
      </w:r>
      <w:r>
        <w:rPr>
          <w:rFonts w:ascii="宋体" w:hAnsi="宋体" w:cs="宋体"/>
          <w:color w:val="000000"/>
          <w:spacing w:val="0"/>
          <w:sz w:val="21"/>
        </w:rPr>
        <w:t>含量减少</w:t>
      </w:r>
      <w:r>
        <w:rPr>
          <w:rFonts w:ascii="Times New Roman"/>
          <w:color w:val="000000"/>
          <w:spacing w:val="27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烟尘扩散范围增大</w:t>
      </w:r>
    </w:p>
    <w:p w14:paraId="7E2AEF63">
      <w:pPr>
        <w:spacing w:before="39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F1AC08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FB4BD09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F91D0D6">
      <w:pPr>
        <w:pStyle w:val="6"/>
        <w:sectPr>
          <w:pgSz w:w="11900" w:h="16840"/>
          <w:pgMar w:top="393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E0C338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8C15384">
      <w:pPr>
        <w:spacing w:before="0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bookmarkStart w:id="4" w:name="br5"/>
      <w:bookmarkEnd w:id="4"/>
      <w:r>
        <w:pict>
          <v:shape id="_x0000_s1054" o:spid="_x0000_s1054" o:spt="75" type="#_x0000_t75" style="position:absolute;left:0pt;margin-left:404.15pt;margin-top:72.55pt;height:2.75pt;width:2.7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212.1pt;margin-top:473.3pt;height:5.75pt;width: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116.8pt;margin-top:769.7pt;height:2.75pt;width:2.7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53pt;margin-top:209.1pt;height:198.6pt;width:188.1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3340E6A3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0B55FF26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湘潭市是一座重要的钢铁工业城市。近年来该市积极转变发展思路，以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锰矿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楷体" w:hAnsi="楷体" w:cs="楷体"/>
          <w:color w:val="000000"/>
          <w:spacing w:val="0"/>
          <w:sz w:val="21"/>
        </w:rPr>
        <w:t>锂云母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资源为基础，</w:t>
      </w:r>
    </w:p>
    <w:p w14:paraId="3362591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瞄准东部沿海地区新能源汽车及相关产业转移的机遇，通过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整车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楷体" w:hAnsi="楷体" w:cs="楷体"/>
          <w:color w:val="000000"/>
          <w:spacing w:val="0"/>
          <w:sz w:val="21"/>
        </w:rPr>
        <w:t>电池</w:t>
      </w:r>
      <w:r>
        <w:rPr>
          <w:rFonts w:ascii="Times New Roman"/>
          <w:color w:val="000000"/>
          <w:spacing w:val="0"/>
          <w:sz w:val="21"/>
        </w:rPr>
        <w:t>+</w:t>
      </w:r>
      <w:r>
        <w:rPr>
          <w:rFonts w:ascii="楷体" w:hAnsi="楷体" w:cs="楷体"/>
          <w:color w:val="000000"/>
          <w:spacing w:val="0"/>
          <w:sz w:val="21"/>
        </w:rPr>
        <w:t>研发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全产业链布局，实施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链</w:t>
      </w:r>
    </w:p>
    <w:p w14:paraId="691E5630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式承接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；同时与深圳高校共建异地联合实验室，将沿海地区研发成果在湘潭市孵化。下图示意湘潭市地</w:t>
      </w:r>
    </w:p>
    <w:p w14:paraId="5CF49856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理位置。</w:t>
      </w:r>
    </w:p>
    <w:p w14:paraId="5D5AB56C">
      <w:pPr>
        <w:spacing w:before="42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）分析湘潭市围绕新能源汽车产业实施链式承接的地理位置优势。</w:t>
      </w:r>
    </w:p>
    <w:p w14:paraId="069AD24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）从产业关联的角度，为湘潭市新能源汽车产业链式承接提出针对性策略，并简要说明理由。</w:t>
      </w:r>
    </w:p>
    <w:p w14:paraId="6094B80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）从创新发展的视角，为湘潭市新能源汽车产业高质量发展提出建议。</w:t>
      </w:r>
    </w:p>
    <w:p w14:paraId="1CBB27D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193D8B0F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5 </w:t>
      </w:r>
      <w:r>
        <w:rPr>
          <w:rFonts w:ascii="楷体" w:hAnsi="楷体" w:cs="楷体"/>
          <w:color w:val="000000"/>
          <w:spacing w:val="0"/>
          <w:sz w:val="21"/>
        </w:rPr>
        <w:t>月某日，天气晴朗，某研学小组在江苏如东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光氢储一体化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0"/>
          <w:sz w:val="21"/>
        </w:rPr>
        <w:t>海上光伏示范项目基地开展研学活动。</w:t>
      </w:r>
    </w:p>
    <w:p w14:paraId="3EEB413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当地利用大面积的滩涂，建设集海上光伏发电、制氢加氢和储能电站于一体的综合性项目，实现绿电就地</w:t>
      </w:r>
    </w:p>
    <w:p w14:paraId="0FF540E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消纳、转化应用。图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楷体" w:hAnsi="楷体" w:cs="楷体"/>
          <w:color w:val="000000"/>
          <w:spacing w:val="0"/>
          <w:sz w:val="21"/>
        </w:rPr>
        <w:t>示意如东地理位置，图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楷体" w:hAnsi="楷体" w:cs="楷体"/>
          <w:color w:val="000000"/>
          <w:spacing w:val="0"/>
          <w:sz w:val="21"/>
        </w:rPr>
        <w:t>为光伏项目景观照片。</w:t>
      </w:r>
    </w:p>
    <w:p w14:paraId="76ED1764">
      <w:pPr>
        <w:spacing w:before="401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5B42DE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D68AF3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68A5232">
      <w:pPr>
        <w:pStyle w:val="6"/>
        <w:sectPr>
          <w:pgSz w:w="11900" w:h="16840"/>
          <w:pgMar w:top="142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06CEAE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D909249">
      <w:pPr>
        <w:spacing w:before="0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060" o:spid="_x0000_s1060" o:spt="75" type="#_x0000_t75" style="position:absolute;left:0pt;margin-left:404.15pt;margin-top:72.55pt;height:2.75pt;width:2.7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53pt;margin-top:341.2pt;height:137.85pt;width:193.3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116.8pt;margin-top:769.7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53pt;margin-top:70.3pt;height:194.1pt;width:278.8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215.85pt;margin-top:507.05pt;height:16.25pt;width:12.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rPr>
          <w:rFonts w:ascii="楷体" w:hAnsi="楷体" w:cs="楷体"/>
          <w:color w:val="000000"/>
          <w:spacing w:val="0"/>
          <w:sz w:val="21"/>
        </w:rPr>
        <w:t>研学活动一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太阳高度角对太阳辐射的影响研究</w:t>
      </w:r>
    </w:p>
    <w:p w14:paraId="21F2B5E4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）研学小组利用传感器测量当天到达地表的太阳辐射量日变化。请在下图中用平滑曲线画出预期实验结</w:t>
      </w:r>
    </w:p>
    <w:p w14:paraId="0DD51B4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果示意图。</w:t>
      </w:r>
    </w:p>
    <w:p w14:paraId="7EC52AF3">
      <w:pPr>
        <w:spacing w:before="3058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研学活动二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光氢储一体化的必要性研究</w:t>
      </w:r>
    </w:p>
    <w:p w14:paraId="5664A1F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）分析该项目实施光氢储一体化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必要性。</w:t>
      </w:r>
    </w:p>
    <w:p w14:paraId="323D34EF">
      <w:pPr>
        <w:spacing w:before="237" w:after="0" w:line="220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研学活动三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光伏项目带来的生态价值研究</w:t>
      </w:r>
    </w:p>
    <w:p w14:paraId="1E4DAA2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）研学小组想从碳减排角度了解该光伏项目带来的生态价值，计划访谈相关生态环境专家，请为他们拟</w:t>
      </w:r>
    </w:p>
    <w:p w14:paraId="1A0BFBF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一份访谈提纲（要求至少列出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-35"/>
          <w:sz w:val="21"/>
        </w:rPr>
        <w:t>条）。</w:t>
      </w:r>
    </w:p>
    <w:p w14:paraId="69925E7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阅读图文材料，完成下列要求。</w:t>
      </w:r>
    </w:p>
    <w:p w14:paraId="55CB172C">
      <w:pPr>
        <w:spacing w:before="226" w:after="0" w:line="243" w:lineRule="exact"/>
        <w:ind w:left="4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-1"/>
          <w:sz w:val="21"/>
        </w:rPr>
        <w:t>通常把中高纬大陆冷空气突然向南爆发，南海一带东北风迅速加强的现象称为</w:t>
      </w: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楷体" w:hAnsi="楷体" w:cs="楷体"/>
          <w:color w:val="000000"/>
          <w:spacing w:val="0"/>
          <w:sz w:val="21"/>
        </w:rPr>
        <w:t>冷涌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楷体" w:hAnsi="楷体" w:cs="楷体"/>
          <w:color w:val="000000"/>
          <w:spacing w:val="-26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>2021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年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月</w:t>
      </w:r>
    </w:p>
    <w:p w14:paraId="579EAB5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 w:hAnsi="Times New Roman" w:cs="Times New Roman"/>
          <w:color w:val="000000"/>
          <w:spacing w:val="0"/>
          <w:sz w:val="21"/>
        </w:rPr>
        <w:t>15——20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楷体" w:hAnsi="楷体" w:cs="楷体"/>
          <w:color w:val="000000"/>
          <w:spacing w:val="0"/>
          <w:sz w:val="21"/>
        </w:rPr>
        <w:t>日，南海一带经历了一次强冷涌过程，马来西亚出现了持续性强降雨天气。下图表示北京时间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12</w:t>
      </w:r>
    </w:p>
    <w:p w14:paraId="757049A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楷体" w:hAnsi="楷体" w:cs="楷体"/>
          <w:color w:val="000000"/>
          <w:spacing w:val="0"/>
          <w:sz w:val="21"/>
        </w:rPr>
        <w:t>月</w:t>
      </w:r>
      <w:r>
        <w:rPr>
          <w:rFonts w:ascii="Times New Roman"/>
          <w:color w:val="000000"/>
          <w:spacing w:val="0"/>
          <w:sz w:val="21"/>
        </w:rPr>
        <w:t xml:space="preserve"> 17 </w:t>
      </w:r>
      <w:r>
        <w:rPr>
          <w:rFonts w:ascii="楷体" w:hAnsi="楷体" w:cs="楷体"/>
          <w:color w:val="000000"/>
          <w:spacing w:val="0"/>
          <w:sz w:val="21"/>
        </w:rPr>
        <w:t>日</w:t>
      </w:r>
      <w:r>
        <w:rPr>
          <w:rFonts w:ascii="Times New Roman"/>
          <w:color w:val="000000"/>
          <w:spacing w:val="0"/>
          <w:sz w:val="21"/>
        </w:rPr>
        <w:t xml:space="preserve"> 8 </w:t>
      </w:r>
      <w:r>
        <w:rPr>
          <w:rFonts w:ascii="楷体" w:hAnsi="楷体" w:cs="楷体"/>
          <w:color w:val="000000"/>
          <w:spacing w:val="0"/>
          <w:sz w:val="21"/>
        </w:rPr>
        <w:t>时海平面等压线分布，图中箭头示意此次冷涌气流移动路径。</w:t>
      </w:r>
    </w:p>
    <w:p w14:paraId="5BEE35DF">
      <w:pPr>
        <w:spacing w:before="166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91CC57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40A07A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D58D32C">
      <w:pPr>
        <w:pStyle w:val="6"/>
        <w:sectPr>
          <w:pgSz w:w="11900" w:h="16840"/>
          <w:pgMar w:top="551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730167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7" w:name="_GoBack"/>
      <w:bookmarkEnd w:id="7"/>
    </w:p>
    <w:p w14:paraId="03FD0B28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067" o:spid="_x0000_s1067" o:spt="75" type="#_x0000_t75" style="position:absolute;left:0pt;margin-left:404.15pt;margin-top:72.55pt;height:2.75pt;width:2.7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212.1pt;margin-top:473.3pt;height:5.75pt;width: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116.8pt;margin-top:769.7pt;height:2.75pt;width:2.7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53pt;margin-top:66.55pt;height:155.1pt;width:194.1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163.3pt;margin-top:225.65pt;height:16.25pt;width:12.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）说明此次冷涌形成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动力条件。</w:t>
      </w:r>
    </w:p>
    <w:p w14:paraId="51939BC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）指出冷涌南下过程中气流温湿性质的变化，并运用海—气相互作用原理解目变化原因。</w:t>
      </w:r>
    </w:p>
    <w:p w14:paraId="5CAAD6F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）结合材料，分析马来西亚此次强降雨的成因。</w:t>
      </w:r>
    </w:p>
    <w:p w14:paraId="623DB08B">
      <w:pPr>
        <w:spacing w:before="963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4562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EAA4EA0F-1E78-4606-990E-3CC4EF2AE24F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01539186-6563-4468-ABEF-1C0E4DCA006A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B44178D3-1BB3-477D-9667-AB40968BA28E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9B5FF946-6A43-481B-A570-173181EB3A6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060315AD-3CD2-4720-A5B7-FA93B3F5D64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C47DAA99-CAE6-4CEB-995A-6EDF94093046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C0F47903-87F2-4531-B523-8933D5B71684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8" w:fontKey="{B7151C17-A5F3-4859-8D9E-C5AB26156123}"/>
  </w:font>
  <w:font w:name="Sitka Text">
    <w:panose1 w:val="02000505000000020004"/>
    <w:charset w:val="01"/>
    <w:family w:val="auto"/>
    <w:pitch w:val="default"/>
    <w:sig w:usb0="A00002EF" w:usb1="4000204B" w:usb2="00000000" w:usb3="00000000" w:csb0="2000019F" w:csb1="00000000"/>
    <w:embedRegular r:id="rId9" w:fontKey="{152FE49B-932F-4A00-8AF4-157574799227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290A30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34F6E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871222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6EF737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26475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4C740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043E1221"/>
    <w:rsid w:val="0C574C96"/>
    <w:rsid w:val="2E500262"/>
    <w:rsid w:val="2F9D00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3.xml"/><Relationship Id="rId5" Type="http://schemas.openxmlformats.org/officeDocument/2006/relationships/header" Target="header2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2"/>
    <customShpInfo spid="_x0000_s1033"/>
    <customShpInfo spid="_x0000_s1034"/>
    <customShpInfo spid="_x0000_s1035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7"/>
    <customShpInfo spid="_x0000_s1048"/>
    <customShpInfo spid="_x0000_s1049"/>
    <customShpInfo spid="_x0000_s1050"/>
    <customShpInfo spid="_x0000_s1051"/>
    <customShpInfo spid="_x0000_s1054"/>
    <customShpInfo spid="_x0000_s1055"/>
    <customShpInfo spid="_x0000_s1056"/>
    <customShpInfo spid="_x0000_s1057"/>
    <customShpInfo spid="_x0000_s1060"/>
    <customShpInfo spid="_x0000_s1061"/>
    <customShpInfo spid="_x0000_s1062"/>
    <customShpInfo spid="_x0000_s1063"/>
    <customShpInfo spid="_x0000_s1064"/>
    <customShpInfo spid="_x0000_s1067"/>
    <customShpInfo spid="_x0000_s1068"/>
    <customShpInfo spid="_x0000_s1069"/>
    <customShpInfo spid="_x0000_s1070"/>
    <customShpInfo spid="_x0000_s107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14</Pages>
  <Words>2672</Words>
  <Characters>2807</Characters>
  <Lines>0</Lines>
  <Paragraphs>112</Paragraphs>
  <TotalTime>3</TotalTime>
  <ScaleCrop>false</ScaleCrop>
  <LinksUpToDate>false</LinksUpToDate>
  <CharactersWithSpaces>3032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2025-06-28T09:40:00Z</dcterms:created>
  <dc:creator>Administrator</dc:creator>
  <cp:lastModifiedBy>上帝掷骰子吗</cp:lastModifiedBy>
  <dcterms:modified xsi:type="dcterms:W3CDTF">2026-02-10T06:55:51Z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67044A4DD2FA4CB9BDB045FD5794FBE5_12</vt:lpwstr>
  </property>
</Properties>
</file>