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9AFF00">
      <w:pPr>
        <w:spacing w:before="0" w:after="0" w:line="325" w:lineRule="exact"/>
        <w:ind w:left="3055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74.05pt;margin-top:378.75pt;height:155.85pt;width:376.4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287.1pt;margin-top:540.05pt;height:16.25pt;width:12.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140.05pt;margin-top:594.85pt;height:16.25pt;width:12.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年河南高考地理真题</w:t>
      </w:r>
    </w:p>
    <w:p w14:paraId="01027386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4F24343C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1"/>
          <w:sz w:val="24"/>
        </w:rPr>
        <w:t>．答卷前，考生务必将自己的姓名、考生号等填写在试卷、答题卡上。</w:t>
      </w:r>
    </w:p>
    <w:p w14:paraId="76C158CC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1"/>
          <w:sz w:val="24"/>
        </w:rPr>
        <w:t>．回答选择题时，选出每小题答案后，用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2B </w:t>
      </w:r>
      <w:r>
        <w:rPr>
          <w:rFonts w:ascii="宋体" w:hAnsi="宋体" w:cs="宋体"/>
          <w:color w:val="000000"/>
          <w:spacing w:val="1"/>
          <w:sz w:val="24"/>
        </w:rPr>
        <w:t>铅笔把答题卡上对应题目的答案标号涂黑。如</w:t>
      </w:r>
    </w:p>
    <w:p w14:paraId="45A06AD5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需改动，用橡皮擦干净后，再选涂其他答案标号。回答非选择题时，将答案写在答题卡上。</w:t>
      </w:r>
    </w:p>
    <w:p w14:paraId="607E2D1E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写在本试卷上无效。</w:t>
      </w:r>
    </w:p>
    <w:p w14:paraId="2B7978CB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．考试结束后，将本试卷和答题卡一并交回。</w:t>
      </w:r>
    </w:p>
    <w:p w14:paraId="5B68139A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1B227985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48BE5950">
      <w:pPr>
        <w:spacing w:before="234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为推进南水北调后续工程高质量发展，有效缓解豫东地区水资源供需矛盾，优化供水结构，河南省规</w:t>
      </w:r>
    </w:p>
    <w:p w14:paraId="75B2EE83">
      <w:pPr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划实施南水北调豫东水资源配置工程。该工程从南水北调中线总干渠取水，采用地下管道向豫东地区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个</w:t>
      </w:r>
    </w:p>
    <w:p w14:paraId="1F63418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县区供水，全线通水后受益人口超过</w:t>
      </w:r>
      <w:r>
        <w:rPr>
          <w:rFonts w:ascii="Times New Roman"/>
          <w:color w:val="000000"/>
          <w:spacing w:val="0"/>
          <w:sz w:val="21"/>
        </w:rPr>
        <w:t xml:space="preserve"> 400 </w:t>
      </w:r>
      <w:r>
        <w:rPr>
          <w:rFonts w:ascii="楷体" w:hAnsi="楷体" w:cs="楷体"/>
          <w:color w:val="000000"/>
          <w:spacing w:val="0"/>
          <w:sz w:val="21"/>
        </w:rPr>
        <w:t>万人。下图示意南水北调豫东水资源配置工程。据此完成下面小</w:t>
      </w:r>
    </w:p>
    <w:p w14:paraId="06A90DD0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题。</w:t>
      </w:r>
    </w:p>
    <w:p w14:paraId="0DEA4A5A">
      <w:pPr>
        <w:spacing w:before="347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与从黄河取水相比，从南水北调中线总干渠取水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主要优势是（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46C0B97">
      <w:pPr>
        <w:spacing w:before="26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水量大</w:t>
      </w:r>
      <w:r>
        <w:rPr>
          <w:rFonts w:ascii="Times New Roman"/>
          <w:color w:val="000000"/>
          <w:spacing w:val="144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水质优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供水范围广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输水距离短</w:t>
      </w:r>
    </w:p>
    <w:p w14:paraId="20C37574">
      <w:pPr>
        <w:spacing w:before="34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豫东地区对调来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水应优先满足（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760C59A">
      <w:pPr>
        <w:spacing w:before="26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生活用水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农业用水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工业用水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生态用水</w:t>
      </w:r>
    </w:p>
    <w:p w14:paraId="2F461024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该工程的实施有利于豫东地区（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BA2F2B5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①解决水污染问题②缓解地下水超采问题</w:t>
      </w:r>
    </w:p>
    <w:p w14:paraId="2CABD00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③减少居民用水量④构建多水源供水格局</w:t>
      </w:r>
    </w:p>
    <w:p w14:paraId="6E2E16F9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859B709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浙江、福建沿海一带称山间平地为岙。浙江省东部的海岛渔村多选址在三面环山一面向海的山岙中，</w:t>
      </w:r>
    </w:p>
    <w:p w14:paraId="4FEF841C">
      <w:pPr>
        <w:spacing w:before="27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4A744B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069426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2B1ECDB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2F5BBF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1AD7742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4" o:spid="_x0000_s1034" o:spt="75" type="#_x0000_t75" style="position:absolute;left:0pt;margin-left:404.15pt;margin-top:72.55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12.1pt;margin-top:473.3pt;height:5.75pt;width: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16.8pt;margin-top:769.7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3pt;margin-top:161.1pt;height:106.3pt;width:281.8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渔村所居山岙通常避开朝东方向。东门岛上的东门村（位置见图）素有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浙江第一渔村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之称，有许多流</w:t>
      </w:r>
    </w:p>
    <w:p w14:paraId="4D18322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传千百年的独特渔家节俗。村内建筑布局紧凑，密度较大。随着渔业效益下降，东门村人在发展海洋捕捞</w:t>
      </w:r>
    </w:p>
    <w:p w14:paraId="7B27DD6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业的同时，深化水产加工，发展海水养殖和海岛旅游业，走出了一条全面发展海洋经济的新道路。据此完</w:t>
      </w:r>
    </w:p>
    <w:p w14:paraId="322BD89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成下面小题。</w:t>
      </w:r>
    </w:p>
    <w:p w14:paraId="3DAA0618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浙江省东部海岛渔村选址时避开朝东方向山岙的主要目的是（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3000EF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减轻台风危害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防御寒潮侵袭</w:t>
      </w:r>
    </w:p>
    <w:p w14:paraId="6032A52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便于排水防涝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方便出海作业</w:t>
      </w:r>
    </w:p>
    <w:p w14:paraId="1054EFF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东门村内部建筑布局紧凑的主要原因是（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2EDA46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土地短缺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河网密布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植被茂密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气候湿热</w:t>
      </w:r>
    </w:p>
    <w:p w14:paraId="00910F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东门村全面发展海洋经济主要依托（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11793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①发达的工商业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②丰富的海洋资源</w:t>
      </w:r>
    </w:p>
    <w:p w14:paraId="69F0135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③独特的文化遗存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④完善的交通网络</w:t>
      </w:r>
    </w:p>
    <w:p w14:paraId="020DF19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421F6F8A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90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-2"/>
          <w:sz w:val="21"/>
        </w:rPr>
        <w:t>年代以来，随着中心城区产业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退二进三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-1"/>
          <w:sz w:val="21"/>
        </w:rPr>
        <w:t>和人口疏解政策的实施，上海市人口空间分布发</w:t>
      </w:r>
    </w:p>
    <w:p w14:paraId="7911E58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生了较大变化。老年人口比例呈现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中心城区高—郊区低—农村高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的特征，而中心城区外围形成一个年</w:t>
      </w:r>
    </w:p>
    <w:p w14:paraId="52EAC90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轻劳动人口集聚的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年轻环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。据此完成下面小题。</w:t>
      </w:r>
    </w:p>
    <w:p w14:paraId="6398085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上海市中心城区老年人口比例高的原因是中心城区（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6C8A78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①住房供应充足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②就业机会较多</w:t>
      </w:r>
    </w:p>
    <w:p w14:paraId="5C4D5ED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③年轻人口外迁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④公共服务设施完善</w:t>
      </w:r>
    </w:p>
    <w:p w14:paraId="20D37B7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65A134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北京、广州等城市也出现了“年轻环”现象，这些城市出现“年轻环”的最关键条件是（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7F7335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城市人口众多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郊区制造业发达</w:t>
      </w:r>
    </w:p>
    <w:p w14:paraId="7D6DA9F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城市面积较大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郊区生态环境好</w:t>
      </w:r>
    </w:p>
    <w:p w14:paraId="7CA968C9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窗墙比是指建筑某一个立面窗户面积与该立面总面积之比，是影响建筑内采暖、制冷和照明等能耗的</w:t>
      </w:r>
    </w:p>
    <w:p w14:paraId="2749C02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重要因素。不同地区基于全年建筑能耗最小来确定最优窗墙比。下图为奥斯陆（</w:t>
      </w:r>
      <w:r>
        <w:rPr>
          <w:rFonts w:ascii="Times New Roman"/>
          <w:color w:val="000000"/>
          <w:spacing w:val="0"/>
          <w:sz w:val="21"/>
        </w:rPr>
        <w:t>59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57`N</w:t>
      </w:r>
      <w:r>
        <w:rPr>
          <w:rFonts w:ascii="楷体" w:hAnsi="楷体" w:cs="楷体"/>
          <w:color w:val="000000"/>
          <w:spacing w:val="-4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45`E</w:t>
      </w:r>
      <w:r>
        <w:rPr>
          <w:rFonts w:ascii="楷体" w:hAnsi="楷体" w:cs="楷体"/>
          <w:color w:val="000000"/>
          <w:spacing w:val="-36"/>
          <w:sz w:val="21"/>
        </w:rPr>
        <w:t>）、法</w:t>
      </w:r>
    </w:p>
    <w:p w14:paraId="081074EE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378F18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2BB17E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BA17AD3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11C213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9E2AD43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16.8pt;margin-top:769.7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53pt;margin-top:113.05pt;height:140.85pt;width:274.3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47pt;margin-top:462.8pt;height:161.1pt;width:425.9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兰克福（</w:t>
      </w:r>
      <w:r>
        <w:rPr>
          <w:rFonts w:ascii="Times New Roman"/>
          <w:color w:val="000000"/>
          <w:spacing w:val="0"/>
          <w:sz w:val="21"/>
        </w:rPr>
        <w:t>50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07`N</w:t>
      </w:r>
      <w:r>
        <w:rPr>
          <w:rFonts w:ascii="楷体" w:hAnsi="楷体" w:cs="楷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37`E</w:t>
      </w:r>
      <w:r>
        <w:rPr>
          <w:rFonts w:ascii="楷体" w:hAnsi="楷体" w:cs="楷体"/>
          <w:color w:val="000000"/>
          <w:spacing w:val="-21"/>
          <w:sz w:val="21"/>
        </w:rPr>
        <w:t>）、罗马（</w:t>
      </w:r>
      <w:r>
        <w:rPr>
          <w:rFonts w:ascii="Times New Roman"/>
          <w:color w:val="000000"/>
          <w:spacing w:val="0"/>
          <w:sz w:val="21"/>
        </w:rPr>
        <w:t>41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54`N</w:t>
      </w:r>
      <w:r>
        <w:rPr>
          <w:rFonts w:ascii="楷体" w:hAnsi="楷体" w:cs="楷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12</w:t>
      </w:r>
      <w:r>
        <w:rPr>
          <w:rFonts w:ascii="楷体" w:hAnsi="楷体" w:cs="楷体"/>
          <w:color w:val="000000"/>
          <w:spacing w:val="0"/>
          <w:sz w:val="21"/>
        </w:rPr>
        <w:t>°</w:t>
      </w:r>
      <w:r>
        <w:rPr>
          <w:rFonts w:ascii="Times New Roman"/>
          <w:color w:val="000000"/>
          <w:spacing w:val="0"/>
          <w:sz w:val="21"/>
        </w:rPr>
        <w:t>30`E</w:t>
      </w:r>
      <w:r>
        <w:rPr>
          <w:rFonts w:ascii="楷体" w:hAnsi="楷体" w:cs="楷体"/>
          <w:color w:val="000000"/>
          <w:spacing w:val="0"/>
          <w:sz w:val="21"/>
        </w:rPr>
        <w:t>）南向墙面最优窗墙比下的全年建筑能耗情况。</w:t>
      </w:r>
    </w:p>
    <w:p w14:paraId="404EDDB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据此完成下面小题。</w:t>
      </w:r>
    </w:p>
    <w:p w14:paraId="231586EC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甲、乙分别代表的城市是（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90A5C9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罗马、奥斯陆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法兰克福、罗马</w:t>
      </w:r>
    </w:p>
    <w:p w14:paraId="2DECF2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罗马、法兰克福</w:t>
      </w:r>
      <w:r>
        <w:rPr>
          <w:rFonts w:ascii="Times New Roman"/>
          <w:color w:val="000000"/>
          <w:spacing w:val="305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法兰克福、奥斯陆</w:t>
      </w:r>
    </w:p>
    <w:p w14:paraId="5ECC6F7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甲、丙城市南向墙面的最优窗墙比分别为</w:t>
      </w:r>
      <w:r>
        <w:rPr>
          <w:rFonts w:ascii="Times New Roman"/>
          <w:color w:val="000000"/>
          <w:spacing w:val="0"/>
          <w:sz w:val="21"/>
        </w:rPr>
        <w:t xml:space="preserve"> 0.27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0.56</w:t>
      </w:r>
      <w:r>
        <w:rPr>
          <w:rFonts w:ascii="宋体" w:hAnsi="宋体" w:cs="宋体"/>
          <w:color w:val="000000"/>
          <w:spacing w:val="0"/>
          <w:sz w:val="21"/>
        </w:rPr>
        <w:t>。甲城市最优窗墙比小于丙城市的原因是甲城市</w:t>
      </w:r>
    </w:p>
    <w:p w14:paraId="27B8623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5E1FE8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夏季白昼时间较长，照明能耗较小</w:t>
      </w:r>
      <w:r>
        <w:rPr>
          <w:rFonts w:ascii="Times New Roman"/>
          <w:color w:val="000000"/>
          <w:spacing w:val="136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夏季正午太阳高度较大，制冷能耗较大</w:t>
      </w:r>
    </w:p>
    <w:p w14:paraId="306B10A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冬季降水较多，采暖能耗较小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年平均气温较低，全年建筑能耗较小</w:t>
      </w:r>
    </w:p>
    <w:p w14:paraId="2C27821C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为探究降雨过程、土壤含水量与洪峰流量的关系，某科研小组在小流域模拟了形成相同洪峰流量的降</w:t>
      </w:r>
    </w:p>
    <w:p w14:paraId="1C656A0B">
      <w:pPr>
        <w:spacing w:before="237" w:after="297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雨过程，表为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2"/>
          <w:sz w:val="21"/>
        </w:rPr>
        <w:t>次降雨过程数据（雨量单位：</w:t>
      </w:r>
      <w:r>
        <w:rPr>
          <w:rFonts w:ascii="Times New Roman"/>
          <w:color w:val="000000"/>
          <w:spacing w:val="0"/>
          <w:sz w:val="21"/>
        </w:rPr>
        <w:t>mm</w:t>
      </w:r>
      <w:r>
        <w:rPr>
          <w:rFonts w:ascii="楷体" w:hAnsi="楷体" w:cs="楷体"/>
          <w:color w:val="000000"/>
          <w:spacing w:val="-52"/>
          <w:sz w:val="21"/>
        </w:rPr>
        <w:t>）。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1"/>
          <w:sz w:val="21"/>
        </w:rPr>
        <w:t>次降雨前土壤含水量相同且偏低。据此完成下面小题。</w:t>
      </w:r>
    </w:p>
    <w:tbl>
      <w:tblPr>
        <w:tblStyle w:val="7"/>
        <w:tblW w:w="0" w:type="auto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015"/>
        <w:gridCol w:w="20"/>
        <w:gridCol w:w="7103"/>
      </w:tblGrid>
      <w:tr w14:paraId="3072E16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3" w:hRule="atLeast"/>
        </w:trPr>
        <w:tc>
          <w:tcPr>
            <w:tcW w:w="1015" w:type="dxa"/>
            <w:noWrap w:val="0"/>
            <w:vAlign w:val="top"/>
          </w:tcPr>
          <w:p w14:paraId="34F7F859">
            <w:pPr>
              <w:spacing w:before="83" w:after="0" w:line="210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楷体" w:hAnsi="楷体" w:cs="楷体"/>
                <w:color w:val="000000"/>
                <w:spacing w:val="0"/>
                <w:sz w:val="21"/>
              </w:rPr>
              <w:t>降雨序</w:t>
            </w:r>
          </w:p>
        </w:tc>
        <w:tc>
          <w:tcPr>
            <w:tcW w:w="20" w:type="dxa"/>
            <w:noWrap w:val="0"/>
            <w:vAlign w:val="top"/>
          </w:tcPr>
          <w:p w14:paraId="33E97716">
            <w:pPr>
              <w:spacing w:before="0" w:after="0" w:line="0" w:lineRule="atLeas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</w:p>
        </w:tc>
        <w:tc>
          <w:tcPr>
            <w:tcW w:w="7103" w:type="dxa"/>
            <w:noWrap w:val="0"/>
            <w:vAlign w:val="top"/>
          </w:tcPr>
          <w:p w14:paraId="645DFD07">
            <w:pPr>
              <w:spacing w:before="0" w:after="0" w:line="210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楷体" w:hAnsi="楷体" w:cs="楷体"/>
                <w:color w:val="000000"/>
                <w:spacing w:val="0"/>
                <w:sz w:val="21"/>
              </w:rPr>
              <w:t>时段雨量</w:t>
            </w:r>
            <w:r>
              <w:rPr>
                <w:rFonts w:ascii="Times New Roman"/>
                <w:color w:val="000000"/>
                <w:spacing w:val="5500"/>
                <w:sz w:val="21"/>
              </w:rPr>
              <w:t xml:space="preserve"> </w:t>
            </w:r>
            <w:r>
              <w:rPr>
                <w:rFonts w:ascii="楷体" w:hAnsi="楷体" w:cs="楷体"/>
                <w:color w:val="000000"/>
                <w:spacing w:val="0"/>
                <w:sz w:val="21"/>
              </w:rPr>
              <w:t>降雨总</w:t>
            </w:r>
          </w:p>
        </w:tc>
      </w:tr>
    </w:tbl>
    <w:p w14:paraId="2172507B">
      <w:pPr>
        <w:spacing w:before="25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号</w:t>
      </w:r>
      <w:r>
        <w:rPr>
          <w:rFonts w:ascii="Times New Roman"/>
          <w:color w:val="000000"/>
          <w:spacing w:val="716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量</w:t>
      </w:r>
    </w:p>
    <w:p w14:paraId="015A271E">
      <w:pPr>
        <w:spacing w:before="0" w:after="0" w:line="243" w:lineRule="exact"/>
        <w:ind w:left="103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小时</w:t>
      </w:r>
      <w:r>
        <w:rPr>
          <w:rFonts w:ascii="Times New Roman"/>
          <w:color w:val="000000"/>
          <w:spacing w:val="17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小时</w:t>
      </w:r>
      <w:r>
        <w:rPr>
          <w:rFonts w:ascii="Times New Roman"/>
          <w:color w:val="000000"/>
          <w:spacing w:val="17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小时</w:t>
      </w:r>
      <w:r>
        <w:rPr>
          <w:rFonts w:ascii="Times New Roman"/>
          <w:color w:val="000000"/>
          <w:spacing w:val="17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小时</w:t>
      </w:r>
      <w:r>
        <w:rPr>
          <w:rFonts w:ascii="Times New Roman"/>
          <w:color w:val="000000"/>
          <w:spacing w:val="17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小时</w:t>
      </w:r>
      <w:r>
        <w:rPr>
          <w:rFonts w:ascii="Times New Roman"/>
          <w:color w:val="000000"/>
          <w:spacing w:val="175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小时</w:t>
      </w:r>
    </w:p>
    <w:p w14:paraId="6CCB7EFE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8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60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48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32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165</w:t>
      </w:r>
    </w:p>
    <w:p w14:paraId="43395DDF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8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42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55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17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150</w:t>
      </w:r>
    </w:p>
    <w:p w14:paraId="030328C1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8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23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32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42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17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143</w:t>
      </w:r>
    </w:p>
    <w:p w14:paraId="5803C85D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3 </w:t>
      </w:r>
      <w:r>
        <w:rPr>
          <w:rFonts w:ascii="宋体" w:hAnsi="宋体" w:cs="宋体"/>
          <w:color w:val="000000"/>
          <w:spacing w:val="0"/>
          <w:sz w:val="21"/>
        </w:rPr>
        <w:t>次降雨过程中（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725ED0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次降雨强度大于第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次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次降雨峰值出现时间晚于第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次</w:t>
      </w:r>
    </w:p>
    <w:p w14:paraId="5212972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和第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次降雨过程相似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次降雨峰值出现时间早于第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次</w:t>
      </w:r>
    </w:p>
    <w:p w14:paraId="020F286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次降雨形成相同洪峰流量的降雨总量最小，其主要原因是（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40E13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前期下渗量小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后期形成的地下径流量大</w:t>
      </w:r>
    </w:p>
    <w:p w14:paraId="40CCE57F">
      <w:pPr>
        <w:spacing w:before="20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B203C1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F3CA57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6C57BB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6" o:spid="_x0000_s1046" o:spt="75" type="#_x0000_t75" style="position:absolute;left:0pt;margin-left:404.15pt;margin-top:72.55pt;height:2.75pt;width:2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212.1pt;margin-top:473.3pt;height:5.75pt;width: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16.8pt;margin-top:769.7pt;height:2.75pt;width:2.7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60.55pt;margin-top:154.35pt;height:8.75pt;width:4.2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53pt;margin-top:241.4pt;height:148.35pt;width:350.9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260.85pt;margin-top:537.8pt;height:16.25pt;width:12.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60.55pt;margin-top:576.1pt;height:8.75pt;width:4.2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前期蒸发量小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后期形成的地表径流量大</w:t>
      </w:r>
    </w:p>
    <w:p w14:paraId="08FF208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4"/>
          <w:sz w:val="21"/>
        </w:rPr>
        <w:t>如果降雨过程与第</w:t>
      </w:r>
      <w:r>
        <w:rPr>
          <w:rFonts w:ascii="Times New Roman"/>
          <w:color w:val="000000"/>
          <w:spacing w:val="28"/>
          <w:sz w:val="21"/>
        </w:rPr>
        <w:t>3</w:t>
      </w:r>
      <w:r>
        <w:rPr>
          <w:rFonts w:ascii="宋体" w:hAnsi="宋体" w:cs="宋体"/>
          <w:color w:val="000000"/>
          <w:spacing w:val="-8"/>
          <w:sz w:val="21"/>
        </w:rPr>
        <w:t>次相似，降雨前土壤含水量偏高，则形成相同洪峰流量的</w:t>
      </w:r>
      <w:r>
        <w:rPr>
          <w:rFonts w:ascii="Times New Roman"/>
          <w:color w:val="000000"/>
          <w:spacing w:val="28"/>
          <w:sz w:val="21"/>
        </w:rPr>
        <w:t>6</w:t>
      </w:r>
      <w:r>
        <w:rPr>
          <w:rFonts w:ascii="宋体" w:hAnsi="宋体" w:cs="宋体"/>
          <w:color w:val="000000"/>
          <w:spacing w:val="-10"/>
          <w:sz w:val="21"/>
        </w:rPr>
        <w:t>小时降雨总量可能是（</w:t>
      </w:r>
    </w:p>
    <w:p w14:paraId="7706B7D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88EB2C3">
      <w:pPr>
        <w:spacing w:before="23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125mm</w:t>
      </w:r>
      <w:r>
        <w:rPr>
          <w:rFonts w:ascii="Times New Roman"/>
          <w:color w:val="000000"/>
          <w:spacing w:val="14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145mm</w:t>
      </w:r>
      <w:r>
        <w:rPr>
          <w:rFonts w:ascii="Times New Roman"/>
          <w:color w:val="000000"/>
          <w:spacing w:val="14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155mm</w:t>
      </w:r>
      <w:r>
        <w:rPr>
          <w:rFonts w:ascii="Times New Roman"/>
          <w:color w:val="000000"/>
          <w:spacing w:val="14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170mm</w:t>
      </w:r>
    </w:p>
    <w:p w14:paraId="642DE05D">
      <w:pPr>
        <w:spacing w:before="400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沉积地层是记录区域环境演化的天然“档案”。塔吉克盆地北临天山、东临帕米尔高原，地处西风带。</w:t>
      </w:r>
    </w:p>
    <w:p w14:paraId="4C2B33E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古近纪早中期，塔吉克盆地和帕米尔高原地区曾是海洋，并经历多次海侵海退事件。后随着帕米尔高原抬</w:t>
      </w:r>
    </w:p>
    <w:p w14:paraId="2BDD071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升，古海洋从塔吉克盆地退出。下图示意塔吉克盆地东北部地层剖面。据此完成下面小题。</w:t>
      </w:r>
    </w:p>
    <w:p w14:paraId="72994648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塔吉克盆地经历多次海侵海退事件，地层剖面图中可见的证据是（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718721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浅海沉积地层下有基岩存在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浅海沉积地层上有黄土状堆积</w:t>
      </w:r>
    </w:p>
    <w:p w14:paraId="66ABBA0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浅海沉积地层与河流沉积地层交替</w:t>
      </w:r>
      <w:r>
        <w:rPr>
          <w:rFonts w:ascii="Times New Roman"/>
          <w:color w:val="000000"/>
          <w:spacing w:val="13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浅海沉积地层厚度显著大于其它地层</w:t>
      </w:r>
    </w:p>
    <w:p w14:paraId="41675C2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从塔吉克盆地东北部地层剖面图可知（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287303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褶皱发生的时间早于中新世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始新世晚期气候趋于干旱</w:t>
      </w:r>
    </w:p>
    <w:p w14:paraId="2A2DB39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古海洋退出时间晚于渐新世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渐新世流水侵蚀作用强烈</w:t>
      </w:r>
    </w:p>
    <w:p w14:paraId="726683A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帕米尔高原抬升至开始显著影响西风气流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时期最可能是（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EE4A3EF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始新世</w:t>
      </w:r>
      <w:r>
        <w:rPr>
          <w:rFonts w:ascii="Times New Roman"/>
          <w:color w:val="000000"/>
          <w:spacing w:val="14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渐新世</w:t>
      </w:r>
      <w:r>
        <w:rPr>
          <w:rFonts w:ascii="Times New Roman"/>
          <w:color w:val="000000"/>
          <w:spacing w:val="14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中新世</w:t>
      </w:r>
      <w:r>
        <w:rPr>
          <w:rFonts w:ascii="Times New Roman"/>
          <w:color w:val="000000"/>
          <w:spacing w:val="14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上新世</w:t>
      </w:r>
    </w:p>
    <w:p w14:paraId="18BFFFDB">
      <w:pPr>
        <w:spacing w:before="36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186080A1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1346D5B9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燕子矶片区（位置见下图）是南京老化工集中区，被誉为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南京化工摇篮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。新中国成立后，部分国</w:t>
      </w:r>
    </w:p>
    <w:p w14:paraId="3304F12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有化工厂在该片区布局。</w:t>
      </w:r>
      <w:r>
        <w:rPr>
          <w:rFonts w:ascii="Times New Roman"/>
          <w:color w:val="000000"/>
          <w:spacing w:val="0"/>
          <w:sz w:val="21"/>
        </w:rPr>
        <w:t xml:space="preserve">20 </w:t>
      </w:r>
      <w:r>
        <w:rPr>
          <w:rFonts w:ascii="楷体" w:hAnsi="楷体" w:cs="楷体"/>
          <w:color w:val="000000"/>
          <w:spacing w:val="0"/>
          <w:sz w:val="21"/>
        </w:rPr>
        <w:t>世纪八九十年代，化工企业开始聚集，集群迅速扩大，德国、荷兰等国的企业</w:t>
      </w:r>
    </w:p>
    <w:p w14:paraId="1F9F904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入驻，该片区成为全国知名的化工基地。</w:t>
      </w:r>
      <w:r>
        <w:rPr>
          <w:rFonts w:ascii="Times New Roman"/>
          <w:color w:val="000000"/>
          <w:spacing w:val="0"/>
          <w:sz w:val="21"/>
        </w:rPr>
        <w:t xml:space="preserve">2007 </w:t>
      </w:r>
      <w:r>
        <w:rPr>
          <w:rFonts w:ascii="楷体" w:hAnsi="楷体" w:cs="楷体"/>
          <w:color w:val="000000"/>
          <w:spacing w:val="0"/>
          <w:sz w:val="21"/>
        </w:rPr>
        <w:t>年，南京市开始实施化工企业搬迁计划，该片区大型化工企</w:t>
      </w:r>
    </w:p>
    <w:p w14:paraId="077FB25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业迁入南京化工园区，规模较小企业迁往苏北、安徽等地。</w:t>
      </w:r>
      <w:r>
        <w:rPr>
          <w:rFonts w:ascii="Times New Roman"/>
          <w:color w:val="000000"/>
          <w:spacing w:val="0"/>
          <w:sz w:val="21"/>
        </w:rPr>
        <w:t xml:space="preserve">2012 </w:t>
      </w:r>
      <w:r>
        <w:rPr>
          <w:rFonts w:ascii="楷体" w:hAnsi="楷体" w:cs="楷体"/>
          <w:color w:val="000000"/>
          <w:spacing w:val="0"/>
          <w:sz w:val="21"/>
        </w:rPr>
        <w:t>年以来，该片区调整土地用途，成功转型</w:t>
      </w:r>
    </w:p>
    <w:p w14:paraId="0A5719E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为生态宜居滨江综合服务型新城区。</w:t>
      </w:r>
    </w:p>
    <w:p w14:paraId="354551C1">
      <w:pPr>
        <w:spacing w:before="4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343FD0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8E80A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C8C782D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AADAD4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DD84E6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5" o:spid="_x0000_s1055" o:spt="75" type="#_x0000_t75" style="position:absolute;left:0pt;margin-left:404.15pt;margin-top:72.55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53pt;margin-top:396.75pt;height:165.6pt;width:333.6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116.8pt;margin-top:769.7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53pt;margin-top:66.55pt;height:140.1pt;width:239.1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）分析燕子矶片区形成化工产业集群的社会经济条件。</w:t>
      </w:r>
    </w:p>
    <w:p w14:paraId="5F4A02A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）说明大型化工企业能够迁入南京化工园区的自身优势。</w:t>
      </w:r>
    </w:p>
    <w:p w14:paraId="57E1074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）简述</w:t>
      </w:r>
      <w:r>
        <w:rPr>
          <w:rFonts w:ascii="Times New Roman"/>
          <w:color w:val="000000"/>
          <w:spacing w:val="0"/>
          <w:sz w:val="21"/>
        </w:rPr>
        <w:t xml:space="preserve"> 2012 </w:t>
      </w:r>
      <w:r>
        <w:rPr>
          <w:rFonts w:ascii="宋体" w:hAnsi="宋体" w:cs="宋体"/>
          <w:color w:val="000000"/>
          <w:spacing w:val="0"/>
          <w:sz w:val="21"/>
        </w:rPr>
        <w:t>年以来燕子矶片区土地用途调整的方向及效益。</w:t>
      </w:r>
    </w:p>
    <w:p w14:paraId="6FF8CB1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50DDB529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充填复垦是采煤沉陷地恢复土地生产力的常用方式，通常利用粉煤灰、煤矸石、泥沙等充填沉陷地，</w:t>
      </w:r>
    </w:p>
    <w:p w14:paraId="4259395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然后覆盖一定厚度的土壤。山东邱集煤矿地处黄河下游冲积平原，煤矿开采后，耕地大面积沉陷，并存在</w:t>
      </w:r>
    </w:p>
    <w:p w14:paraId="37702A1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季节性积水，不能耕种。某研究团队利用附近引黄总干渠淤积泥沙对沉陷地进行充填复垦，为研究不同充</w:t>
      </w:r>
    </w:p>
    <w:p w14:paraId="6E193F6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填方式的复垦效果，开展两组试验（图），结果表明试验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楷体" w:hAnsi="楷体" w:cs="楷体"/>
          <w:color w:val="000000"/>
          <w:spacing w:val="0"/>
          <w:sz w:val="21"/>
        </w:rPr>
        <w:t>粮食产量显著高于试验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楷体" w:hAnsi="楷体" w:cs="楷体"/>
          <w:color w:val="000000"/>
          <w:spacing w:val="0"/>
          <w:sz w:val="21"/>
        </w:rPr>
        <w:t>。</w:t>
      </w:r>
    </w:p>
    <w:p w14:paraId="30471398"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）指出引黄总干渠淤积泥沙替代粉煤灰、煤矸石充填沉陷地的优势。</w:t>
      </w:r>
    </w:p>
    <w:p w14:paraId="50771A7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）说明试验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粮食产量显著高于试验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的主要原因。</w:t>
      </w:r>
    </w:p>
    <w:p w14:paraId="2698B86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）基于传统的“先开采后复垦”模式，该研究团队进一步提出“边开采边复垦”的新模式。分析新模式</w:t>
      </w:r>
    </w:p>
    <w:p w14:paraId="6F9354A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对保障国家粮食安全的作用。</w:t>
      </w:r>
    </w:p>
    <w:p w14:paraId="6706041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32E096F0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在撒哈拉沙漠南缘的萨赫勒地区，非常平缓的坡面上发育着灌丛带和裸地交替排列的带状景观。灌丛</w:t>
      </w:r>
    </w:p>
    <w:p w14:paraId="2A769C2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带和裸地沿等高线排列，因形似老虎花纹，又被称为虎纹灌丛。带状景观中裸地土壤渗透率低，降水多形</w:t>
      </w:r>
    </w:p>
    <w:p w14:paraId="54E09A5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成面状水流，并蓄积在下坡向的灌丛带中。灌丛带由草本先锋区、灌木核心区和枯木退化区三部分组成。</w:t>
      </w:r>
    </w:p>
    <w:p w14:paraId="056AE222">
      <w:pPr>
        <w:spacing w:before="4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245DF6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D43F1E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C53BF98">
      <w:pPr>
        <w:pStyle w:val="6"/>
        <w:sectPr>
          <w:pgSz w:w="11900" w:h="16840"/>
          <w:pgMar w:top="425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D12771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58D4B293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61" o:spid="_x0000_s1061" o:spt="75" type="#_x0000_t75" style="position:absolute;left:0pt;margin-left:404.15pt;margin-top:72.55pt;height:2.75pt;width:2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212.1pt;margin-top:473.3pt;height:5.75pt;width: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116.8pt;margin-top:769.7pt;height:2.75pt;width:2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53pt;margin-top:95.05pt;height:145.35pt;width:373.4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多年监测显示，灌丛带向上坡缓慢移动。下图为萨赫勒地区虎纹灌丛遥感影像及景观示意图。</w:t>
      </w:r>
    </w:p>
    <w:p w14:paraId="019CBD94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）说明非常平缓的坡面有利于灌丛带发育的原因。</w:t>
      </w:r>
    </w:p>
    <w:p w14:paraId="7F6D090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）分析虎纹灌丛中裸地难以发育植被的水分条件。</w:t>
      </w:r>
    </w:p>
    <w:p w14:paraId="1924CA9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）分析灌丛带向上坡缓慢移动的过程。</w:t>
      </w:r>
    </w:p>
    <w:p w14:paraId="0D7E4F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）假设该地区降水增多，推测虎纹灌丛可能发生的变化。</w:t>
      </w:r>
    </w:p>
    <w:p w14:paraId="555293C3">
      <w:pPr>
        <w:spacing w:before="869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844B329E-D736-4658-9B4E-205F37AE8D1B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F73DAC40-3F4C-4512-B731-BB069AB99CD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FAE96051-702E-4E29-B99E-B63466E1A31D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46B7DF24-CE2A-48AC-AF5B-2E659D3CA0A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0673EAA0-2AA3-4E8C-B7B8-1ADDF1E2C1E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DFDA97D6-1584-467A-ACE1-ED05D6775D6F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02D18186-5CF4-4545-9D38-E4DBE427A842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AEE4E63D-BE9D-4130-B45B-584F1051BF3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511741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65532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3C6BF6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C61C2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0A4A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9289C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6829157C"/>
    <w:rsid w:val="6C861716"/>
    <w:rsid w:val="76450FD5"/>
    <w:rsid w:val="7A551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3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5"/>
    <customShpInfo spid="_x0000_s1056"/>
    <customShpInfo spid="_x0000_s1057"/>
    <customShpInfo spid="_x0000_s1058"/>
    <customShpInfo spid="_x0000_s1061"/>
    <customShpInfo spid="_x0000_s1062"/>
    <customShpInfo spid="_x0000_s1063"/>
    <customShpInfo spid="_x0000_s106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12</Pages>
  <Words>3009</Words>
  <Characters>3189</Characters>
  <Lines>0</Lines>
  <Paragraphs>119</Paragraphs>
  <TotalTime>3</TotalTime>
  <ScaleCrop>false</ScaleCrop>
  <LinksUpToDate>false</LinksUpToDate>
  <CharactersWithSpaces>3443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2025-06-25T12:17:00Z</dcterms:created>
  <dc:creator>Administrator</dc:creator>
  <cp:lastModifiedBy>上帝掷骰子吗</cp:lastModifiedBy>
  <dcterms:modified xsi:type="dcterms:W3CDTF">2026-02-10T06:55:55Z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EE16E822D40C4F4BBA0E6E7B55929215_12</vt:lpwstr>
  </property>
</Properties>
</file>