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90BE92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468.8pt;height:208.35pt;width:321.6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机密★启用前</w:t>
      </w:r>
    </w:p>
    <w:p w14:paraId="2179DDEE">
      <w:pPr>
        <w:spacing w:before="201" w:after="0" w:line="359" w:lineRule="exact"/>
        <w:ind w:left="179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年湖北省普通高中学业水平选择性考试</w:t>
      </w:r>
    </w:p>
    <w:p w14:paraId="3F52A8A5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地理</w:t>
      </w:r>
    </w:p>
    <w:p w14:paraId="597A90C2">
      <w:pPr>
        <w:spacing w:before="202" w:after="0" w:line="276" w:lineRule="exact"/>
        <w:ind w:left="1652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页，</w:t>
      </w:r>
      <w:r>
        <w:rPr>
          <w:rFonts w:ascii="Times New Roman"/>
          <w:b/>
          <w:color w:val="000000"/>
          <w:spacing w:val="-1"/>
          <w:sz w:val="24"/>
        </w:rPr>
        <w:t>18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题。全卷满分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分。考试用时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75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3D875018">
      <w:pPr>
        <w:spacing w:before="103" w:after="0" w:line="250" w:lineRule="exact"/>
        <w:ind w:left="4027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★祝考试顺利★</w:t>
      </w:r>
    </w:p>
    <w:p w14:paraId="1711F800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56C0E65F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1"/>
          <w:sz w:val="24"/>
        </w:rPr>
        <w:t>．答题前，先将自己的姓名、准考证号、考场号、座位号填写在试卷和答题卡上，并认真核</w:t>
      </w:r>
    </w:p>
    <w:p w14:paraId="04949296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准准考证号条形码上的以上信息，将条形码粘贴在答题卡上的指定位置。</w:t>
      </w:r>
    </w:p>
    <w:p w14:paraId="1700A6EF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1"/>
          <w:sz w:val="24"/>
        </w:rPr>
        <w:t>．请按题号顺序在答题卡上各题目的答题区域内作答，写在试卷、草稿纸和答题卡上的非答</w:t>
      </w:r>
    </w:p>
    <w:p w14:paraId="5B85A553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题区域均无效。</w:t>
      </w:r>
    </w:p>
    <w:p w14:paraId="4D999365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2"/>
          <w:sz w:val="24"/>
        </w:rPr>
        <w:t>．选择题用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2B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铅笔在答题卡上把所选答案的标号涂黑；非选择题用黑色签字笔在答题卡上</w:t>
      </w:r>
    </w:p>
    <w:p w14:paraId="3611A061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作答；字体工整，笔迹清楚。</w:t>
      </w:r>
    </w:p>
    <w:p w14:paraId="36E21E6B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4</w:t>
      </w:r>
      <w:r>
        <w:rPr>
          <w:rFonts w:ascii="宋体" w:hAnsi="宋体" w:cs="宋体"/>
          <w:color w:val="000000"/>
          <w:spacing w:val="1"/>
          <w:sz w:val="24"/>
        </w:rPr>
        <w:t>．考试结束后，请将试卷和答题卡一并上交。</w:t>
      </w:r>
    </w:p>
    <w:p w14:paraId="1047364C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1068E6DC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5665E7B4">
      <w:pPr>
        <w:spacing w:before="185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走进北京通州航天育种基地，色泽鲜艳的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太空樱桃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楷体" w:hAnsi="楷体" w:cs="楷体"/>
          <w:color w:val="000000"/>
          <w:spacing w:val="0"/>
          <w:sz w:val="21"/>
        </w:rPr>
        <w:t>太空番茄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引人注目，形态各异的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太空南</w:t>
      </w:r>
    </w:p>
    <w:p w14:paraId="24047204">
      <w:pPr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瓜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楷体" w:hAnsi="楷体" w:cs="楷体"/>
          <w:color w:val="000000"/>
          <w:spacing w:val="0"/>
          <w:sz w:val="21"/>
        </w:rPr>
        <w:t>太空辣椒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-2"/>
          <w:sz w:val="21"/>
        </w:rPr>
        <w:t>令人大开眼界。基地依托种业科技园区，与众多企业共同构建了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育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楷体" w:hAnsi="楷体" w:cs="楷体"/>
          <w:color w:val="000000"/>
          <w:spacing w:val="0"/>
          <w:sz w:val="21"/>
        </w:rPr>
        <w:t>繁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楷体" w:hAnsi="楷体" w:cs="楷体"/>
          <w:color w:val="000000"/>
          <w:spacing w:val="0"/>
          <w:sz w:val="21"/>
        </w:rPr>
        <w:t>推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一体化的现</w:t>
      </w:r>
    </w:p>
    <w:p w14:paraId="2C888F66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代育种产业链，不仅把高品质的粮食、果蔬端上了百姓餐桌，更攻克了一批种源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卡脖子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技术，有力保</w:t>
      </w:r>
    </w:p>
    <w:p w14:paraId="345DD4F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障了国家粮食安全。下图示意该基地在北京市的位置。据此完成下面小题。</w:t>
      </w:r>
    </w:p>
    <w:p w14:paraId="29834B18">
      <w:pPr>
        <w:spacing w:before="46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该基地位于通州而非北京其他地区，主要是因为通州（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619B871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交通运输便利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育种基础雄厚</w:t>
      </w:r>
    </w:p>
    <w:p w14:paraId="3444E2C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气候条件优越</w:t>
      </w:r>
      <w:r>
        <w:rPr>
          <w:rFonts w:ascii="Times New Roman"/>
          <w:color w:val="000000"/>
          <w:spacing w:val="3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土地资源充足</w:t>
      </w:r>
    </w:p>
    <w:p w14:paraId="196BFE1C">
      <w:pPr>
        <w:spacing w:before="43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2ED59B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3A8830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F3C1AF1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38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899BC1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F81F13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473.3pt;height:5.75pt;width: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16.8pt;margin-top:769.7pt;height:2.75pt;width:2.7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60.55pt;margin-top:412.5pt;height:8.75pt;width:4.2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53pt;margin-top:590.35pt;height:107.05pt;width:350.1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224.1pt;margin-top:702.15pt;height:16.25pt;width:12.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太空种子对农作物品质的提升（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8B4F3EE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打破了农业生产地域性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增强了农产品市场竞争力</w:t>
      </w:r>
    </w:p>
    <w:p w14:paraId="7F94D99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弱化了农业生产季节性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保障了农产品的稳定供应</w:t>
      </w:r>
    </w:p>
    <w:p w14:paraId="6C98014D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航天育种对农业发展的核心驱动表现在（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99E1C36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扩大农业生产规模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减少农业劳动力投入</w:t>
      </w:r>
    </w:p>
    <w:p w14:paraId="72DA935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推动农业科技创新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促进农业生产专业化</w:t>
      </w:r>
    </w:p>
    <w:p w14:paraId="572A9A64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近年来，杭州市余杭区依托良渚文化和运河文化，发挥数字经济先发优势，通过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文化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楷体" w:hAnsi="楷体" w:cs="楷体"/>
          <w:color w:val="000000"/>
          <w:spacing w:val="0"/>
          <w:sz w:val="21"/>
        </w:rPr>
        <w:t>科技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融合的</w:t>
      </w:r>
    </w:p>
    <w:p w14:paraId="5612E55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模式，以数字文化产业为主导，大力推动相关产业的发展。</w:t>
      </w:r>
      <w:r>
        <w:rPr>
          <w:rFonts w:ascii="Times New Roman"/>
          <w:color w:val="000000"/>
          <w:spacing w:val="0"/>
          <w:sz w:val="21"/>
        </w:rPr>
        <w:t xml:space="preserve">2024 </w:t>
      </w:r>
      <w:r>
        <w:rPr>
          <w:rFonts w:ascii="楷体" w:hAnsi="楷体" w:cs="楷体"/>
          <w:color w:val="000000"/>
          <w:spacing w:val="0"/>
          <w:sz w:val="21"/>
        </w:rPr>
        <w:t>年，该区文化产业产值占杭州市的一半以</w:t>
      </w:r>
    </w:p>
    <w:p w14:paraId="34BFAAB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上。据此完成下面小题。</w:t>
      </w:r>
    </w:p>
    <w:p w14:paraId="73C6FFE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余杭区数字文化产业快速发展的突出优势是（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663C6C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①运河沟通南北，信息通达性高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②文化资源丰富，政策支持得力</w:t>
      </w:r>
    </w:p>
    <w:p w14:paraId="2C16E7A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③传统产业发达，劳动力较充足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④数字技术先进，人才储备雄厚</w:t>
      </w:r>
    </w:p>
    <w:p w14:paraId="17F4CD7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7222B3A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5. </w:t>
      </w:r>
      <w:r>
        <w:rPr>
          <w:rFonts w:ascii="宋体" w:hAnsi="宋体" w:cs="宋体"/>
          <w:color w:val="000000"/>
          <w:spacing w:val="0"/>
          <w:sz w:val="21"/>
        </w:rPr>
        <w:t>“文化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科技”模式对余杭区产业发展的主要影响是（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CE477CE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促进产业结构升级，延伸产业链价值链</w:t>
      </w:r>
      <w:r>
        <w:rPr>
          <w:rFonts w:ascii="Times New Roman"/>
          <w:color w:val="000000"/>
          <w:spacing w:val="9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优化产业空间布局，重工业向郊区转移</w:t>
      </w:r>
    </w:p>
    <w:p w14:paraId="1F91A88A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持续加大产业投入，推进产业均衡发展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提升交通建设水平，扩大物流辐射范围</w:t>
      </w:r>
    </w:p>
    <w:p w14:paraId="61D8A80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为促进余杭区文化产业高质量发展，应优先采取的措施是（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5B290C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①大力开发未利用土地建设文化园区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②引入高校资源培养复合型文化人才</w:t>
      </w:r>
    </w:p>
    <w:p w14:paraId="67A06E0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③健全文化科技融合的创新激励机制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④放宽文化企业准入标准以扩大规模</w:t>
      </w:r>
    </w:p>
    <w:p w14:paraId="6D293E5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218A0EBB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某观测小组在当地以星空观测为主题，开展地理研学活动，在准备的星空图上标识了不同季节太阳的</w:t>
      </w:r>
    </w:p>
    <w:p w14:paraId="6CAB698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6"/>
          <w:sz w:val="21"/>
        </w:rPr>
        <w:t>位置（下图）。据此完成下面小题。</w:t>
      </w:r>
    </w:p>
    <w:p w14:paraId="01C9FC19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该小组开展星空观测时，为取得好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效果，需要考虑的主要因素是（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5920B0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①天气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②纬度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③经度</w:t>
      </w:r>
      <w:r>
        <w:rPr>
          <w:rFonts w:ascii="Times New Roman"/>
          <w:color w:val="000000"/>
          <w:spacing w:val="9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④高度</w:t>
      </w:r>
    </w:p>
    <w:p w14:paraId="3008817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423368EA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870A18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9CA568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5057D37">
      <w:pPr>
        <w:pStyle w:val="6"/>
        <w:sectPr>
          <w:pgSz w:w="11900" w:h="16840"/>
          <w:pgMar w:top="14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82BCA2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E3EAEE1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0" o:spid="_x0000_s1040" o:spt="75" type="#_x0000_t75" style="position:absolute;left:0pt;margin-left:404.15pt;margin-top:72.55pt;height:2.75pt;width:2.7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212.1pt;margin-top:473.3pt;height:5.75pt;width: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16.8pt;margin-top:769.7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53pt;margin-top:255.65pt;height:183.6pt;width:269.1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197.1pt;margin-top:514.55pt;height:16.25pt;width:12.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观测发现，某夜晚</w:t>
      </w:r>
      <w:r>
        <w:rPr>
          <w:rFonts w:ascii="Times New Roman"/>
          <w:color w:val="000000"/>
          <w:spacing w:val="0"/>
          <w:sz w:val="21"/>
        </w:rPr>
        <w:t xml:space="preserve"> 23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 xml:space="preserve">54 </w:t>
      </w:r>
      <w:r>
        <w:rPr>
          <w:rFonts w:ascii="宋体" w:hAnsi="宋体" w:cs="宋体"/>
          <w:color w:val="000000"/>
          <w:spacing w:val="0"/>
          <w:sz w:val="21"/>
        </w:rPr>
        <w:t>天琴座位于天顶附近，则第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天出现在同一位置的时刻是（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56DCE0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23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50</w:t>
      </w:r>
      <w:r>
        <w:rPr>
          <w:rFonts w:ascii="Times New Roman"/>
          <w:color w:val="000000"/>
          <w:spacing w:val="14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23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54</w:t>
      </w:r>
      <w:r>
        <w:rPr>
          <w:rFonts w:ascii="Times New Roman"/>
          <w:color w:val="000000"/>
          <w:spacing w:val="15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23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56</w:t>
      </w:r>
      <w:r>
        <w:rPr>
          <w:rFonts w:ascii="Times New Roman"/>
          <w:color w:val="000000"/>
          <w:spacing w:val="150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23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58</w:t>
      </w:r>
    </w:p>
    <w:p w14:paraId="4F6ABC0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图所示太阳视运动方向和周期是（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808A47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①自东向西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②自西向东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③</w:t>
      </w:r>
      <w:r>
        <w:rPr>
          <w:rFonts w:ascii="Times New Roman"/>
          <w:color w:val="000000"/>
          <w:spacing w:val="0"/>
          <w:sz w:val="21"/>
        </w:rPr>
        <w:t xml:space="preserve">1 </w:t>
      </w:r>
      <w:r>
        <w:rPr>
          <w:rFonts w:ascii="宋体" w:hAnsi="宋体" w:cs="宋体"/>
          <w:color w:val="000000"/>
          <w:spacing w:val="0"/>
          <w:sz w:val="21"/>
        </w:rPr>
        <w:t>恒星年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</w:t>
      </w:r>
      <w:r>
        <w:rPr>
          <w:rFonts w:ascii="Times New Roman"/>
          <w:color w:val="000000"/>
          <w:spacing w:val="0"/>
          <w:sz w:val="21"/>
        </w:rPr>
        <w:t xml:space="preserve">1 </w:t>
      </w:r>
      <w:r>
        <w:rPr>
          <w:rFonts w:ascii="宋体" w:hAnsi="宋体" w:cs="宋体"/>
          <w:color w:val="000000"/>
          <w:spacing w:val="0"/>
          <w:sz w:val="21"/>
        </w:rPr>
        <w:t>回归年</w:t>
      </w:r>
    </w:p>
    <w:p w14:paraId="1211739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0D2A0718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西北太平洋某珊瑚岛礁属热带季风气候，呈长条形，沙堤环绕，植被繁茂。该岛沙嘴区受盛行风主导</w:t>
      </w:r>
    </w:p>
    <w:p w14:paraId="5DF791A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呈季节性变化，亦受波浪和潮汐作用。此外，极端风暴事件也会对沙嘴区造成重要影响。移动固沙障根据</w:t>
      </w:r>
    </w:p>
    <w:p w14:paraId="726FB2B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需要灵活布设。下图示意</w:t>
      </w:r>
      <w:r>
        <w:rPr>
          <w:rFonts w:ascii="Times New Roman"/>
          <w:color w:val="000000"/>
          <w:spacing w:val="0"/>
          <w:sz w:val="21"/>
        </w:rPr>
        <w:t xml:space="preserve"> 2022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~2023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楷体" w:hAnsi="楷体" w:cs="楷体"/>
          <w:color w:val="000000"/>
          <w:spacing w:val="0"/>
          <w:sz w:val="21"/>
        </w:rPr>
        <w:t>月该岛沙嘴区的岸线变化。据此完成下面小题。</w:t>
      </w:r>
    </w:p>
    <w:p w14:paraId="18D09C00">
      <w:pPr>
        <w:spacing w:before="397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受冬季风影响，该岛沙嘴区冲淤特点是（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787E76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北侧、南侧皆以侵蚀为主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北侧淤积为主，南侧侵蚀为主</w:t>
      </w:r>
    </w:p>
    <w:p w14:paraId="4DAA30A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北侧、南侧皆以淤积为主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北侧侵蚀为主，南侧淤积为主</w:t>
      </w:r>
    </w:p>
    <w:p w14:paraId="6A77DA2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极端风暴事件对该岛沙嘴区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影响，主要表现为（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019B36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植被受损，岸线向海扩张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表层海水流速减弱，淤积加剧</w:t>
      </w:r>
    </w:p>
    <w:p w14:paraId="784E22C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风浪增强，岸线侵蚀加剧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表层海水流向转变，淤积加剧</w:t>
      </w:r>
    </w:p>
    <w:p w14:paraId="7A4CE1D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12. 2022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~2023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宋体" w:hAnsi="宋体" w:cs="宋体"/>
          <w:color w:val="000000"/>
          <w:spacing w:val="0"/>
          <w:sz w:val="21"/>
        </w:rPr>
        <w:t>月该沙嘴区的岸线变化表明（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32B6D7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①沙嘴区受季风影响呈季节性冲淤交替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②沙嘴向西延伸的凸出部分基本无变化</w:t>
      </w:r>
    </w:p>
    <w:p w14:paraId="052F334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③冬季时移动固沙障应主要布设于北侧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④冬季时移动固沙障应主要布设于南侧</w:t>
      </w:r>
    </w:p>
    <w:p w14:paraId="59AD03A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7B620C96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在长江上游川江段，散布着大小不一、形态各异、数量众多的江心岛。根据地貌差异可将江心岛分为</w:t>
      </w:r>
    </w:p>
    <w:p w14:paraId="266D9B4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山地型和平坝型两类，其中山地型地形起伏较大，平坝型地势较为平坦。岛上以传统农耕为主，在长期渐</w:t>
      </w:r>
    </w:p>
    <w:p w14:paraId="6307D99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进式演化过程中，形成了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山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楷体" w:hAnsi="楷体" w:cs="楷体"/>
          <w:color w:val="000000"/>
          <w:spacing w:val="0"/>
          <w:sz w:val="21"/>
        </w:rPr>
        <w:t>水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楷体" w:hAnsi="楷体" w:cs="楷体"/>
          <w:color w:val="000000"/>
          <w:spacing w:val="0"/>
          <w:sz w:val="21"/>
        </w:rPr>
        <w:t>林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楷体" w:hAnsi="楷体" w:cs="楷体"/>
          <w:color w:val="000000"/>
          <w:spacing w:val="0"/>
          <w:sz w:val="21"/>
        </w:rPr>
        <w:t>田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楷体" w:hAnsi="楷体" w:cs="楷体"/>
          <w:color w:val="000000"/>
          <w:spacing w:val="0"/>
          <w:sz w:val="21"/>
        </w:rPr>
        <w:t>居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于一体的岛屿聚落环境体系。下图示意川江段江心岛路网与聚</w:t>
      </w:r>
    </w:p>
    <w:p w14:paraId="14A51F1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落空间关系的结构模式。据此完成下面小题。</w:t>
      </w:r>
    </w:p>
    <w:p w14:paraId="0FA974DC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6C17FF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09AD9C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15EBE08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7BDA48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4EAC5F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7" o:spid="_x0000_s1047" o:spt="75" type="#_x0000_t75" style="position:absolute;left:0pt;margin-left:53pt;margin-top:72.55pt;height:190.35pt;width:353.9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212.1pt;margin-top:473.3pt;height:5.75pt;width: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16.8pt;margin-top:769.7pt;height:2.75pt;width:2.7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山地型江心岛路网与聚落空间关系结构模式为（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A3A116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带状延伸型</w:t>
      </w:r>
      <w:r>
        <w:rPr>
          <w:rFonts w:ascii="Times New Roman"/>
          <w:color w:val="000000"/>
          <w:spacing w:val="10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环状延伸型</w:t>
      </w:r>
      <w:r>
        <w:rPr>
          <w:rFonts w:ascii="Times New Roman"/>
          <w:color w:val="000000"/>
          <w:spacing w:val="103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十字环绕型</w:t>
      </w:r>
      <w:r>
        <w:rPr>
          <w:rFonts w:ascii="Times New Roman"/>
          <w:color w:val="000000"/>
          <w:spacing w:val="10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自由树枝型</w:t>
      </w:r>
    </w:p>
    <w:p w14:paraId="4859C5B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符合平坝型江心岛聚落空间组织特点的是（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11C003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①沟谷湾田，依坡筑舍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②密林沃野，集中聚居</w:t>
      </w:r>
    </w:p>
    <w:p w14:paraId="4DEAE78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③丘麓片田，择缓而居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④环林围田，逐路而居</w:t>
      </w:r>
    </w:p>
    <w:p w14:paraId="431C26F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2DCD7E2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川江段江心岛适应当地自然环境形成了差异化的聚落布局模式，其特征包括（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E7D14C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①小规模散布，形态自由</w:t>
      </w:r>
      <w:r>
        <w:rPr>
          <w:rFonts w:ascii="Times New Roman"/>
          <w:color w:val="000000"/>
          <w:spacing w:val="1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②集中连片，布局紧凑</w:t>
      </w:r>
    </w:p>
    <w:p w14:paraId="5FFF342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③放射状蔓延，多轴推进</w:t>
      </w:r>
      <w:r>
        <w:rPr>
          <w:rFonts w:ascii="Times New Roman"/>
          <w:color w:val="000000"/>
          <w:spacing w:val="1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④组团聚居，错落有致</w:t>
      </w:r>
    </w:p>
    <w:p w14:paraId="3299909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73A380E0">
      <w:pPr>
        <w:spacing w:before="16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603B3EB8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3D877869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20 </w:t>
      </w:r>
      <w:r>
        <w:rPr>
          <w:rFonts w:ascii="楷体" w:hAnsi="楷体" w:cs="楷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60 </w:t>
      </w:r>
      <w:r>
        <w:rPr>
          <w:rFonts w:ascii="楷体" w:hAnsi="楷体" w:cs="楷体"/>
          <w:color w:val="000000"/>
          <w:spacing w:val="0"/>
          <w:sz w:val="21"/>
        </w:rPr>
        <w:t>年代至</w:t>
      </w:r>
      <w:r>
        <w:rPr>
          <w:rFonts w:ascii="Times New Roman"/>
          <w:color w:val="000000"/>
          <w:spacing w:val="0"/>
          <w:sz w:val="21"/>
        </w:rPr>
        <w:t xml:space="preserve"> 80 </w:t>
      </w:r>
      <w:r>
        <w:rPr>
          <w:rFonts w:ascii="楷体" w:hAnsi="楷体" w:cs="楷体"/>
          <w:color w:val="000000"/>
          <w:spacing w:val="0"/>
          <w:sz w:val="21"/>
        </w:rPr>
        <w:t>年代，澳大利亚悉尼的人口从东部沿海中心区沿交通线向西扩散，奠定了悉尼都</w:t>
      </w:r>
    </w:p>
    <w:p w14:paraId="71A58DA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市区的基本框架，之后人口又出现回流。随着都市区的发展，空间发展不均衡加剧。为应对由此带来的问</w:t>
      </w:r>
    </w:p>
    <w:p w14:paraId="136CCBE7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题，悉尼都市区规划于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2018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年发布。该规划围绕不同核心，布局差异化产业，完善各层级中心间的快速交</w:t>
      </w:r>
    </w:p>
    <w:p w14:paraId="687E35E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通联系，将悉尼都市区重塑为由东城、中城、西城三个特色各异、相互联系的城市组成的多中心都市区。</w:t>
      </w:r>
    </w:p>
    <w:p w14:paraId="3482499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规划通过合理安排居住区、增加住宅和公共服务设施供给、恢复与保护生态系统等措施，提升都市区的宜</w:t>
      </w:r>
    </w:p>
    <w:p w14:paraId="39D8191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居性。下图示意都市区规划的空间布局。</w:t>
      </w:r>
    </w:p>
    <w:p w14:paraId="416F2796">
      <w:pPr>
        <w:spacing w:before="177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DCBBB5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30488D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D18519D">
      <w:pPr>
        <w:pStyle w:val="6"/>
        <w:sectPr>
          <w:pgSz w:w="11900" w:h="16840"/>
          <w:pgMar w:top="5499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FEA642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0D7736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2" o:spid="_x0000_s1052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12.1pt;margin-top:473.3pt;height:5.75pt;width: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53pt;margin-top:70.3pt;height:226.4pt;width:253.3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208.35pt;margin-top:574.6pt;height:8pt;width:11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20 </w:t>
      </w:r>
      <w:r>
        <w:rPr>
          <w:rFonts w:ascii="宋体" w:hAnsi="宋体" w:cs="宋体"/>
          <w:color w:val="000000"/>
          <w:spacing w:val="0"/>
          <w:sz w:val="21"/>
        </w:rPr>
        <w:t>世纪</w:t>
      </w:r>
      <w:r>
        <w:rPr>
          <w:rFonts w:ascii="Times New Roman"/>
          <w:color w:val="000000"/>
          <w:spacing w:val="0"/>
          <w:sz w:val="21"/>
        </w:rPr>
        <w:t xml:space="preserve"> 60 </w:t>
      </w:r>
      <w:r>
        <w:rPr>
          <w:rFonts w:ascii="宋体" w:hAnsi="宋体" w:cs="宋体"/>
          <w:color w:val="000000"/>
          <w:spacing w:val="0"/>
          <w:sz w:val="21"/>
        </w:rPr>
        <w:t>年代至</w:t>
      </w:r>
      <w:r>
        <w:rPr>
          <w:rFonts w:ascii="Times New Roman"/>
          <w:color w:val="000000"/>
          <w:spacing w:val="0"/>
          <w:sz w:val="21"/>
        </w:rPr>
        <w:t xml:space="preserve"> 80 </w:t>
      </w:r>
      <w:r>
        <w:rPr>
          <w:rFonts w:ascii="宋体" w:hAnsi="宋体" w:cs="宋体"/>
          <w:color w:val="000000"/>
          <w:spacing w:val="0"/>
          <w:sz w:val="21"/>
        </w:rPr>
        <w:t>年代悉尼城市中心区人口向西扩散，试推测原因。</w:t>
      </w:r>
    </w:p>
    <w:p w14:paraId="3136C3D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）分析西城建设成为悉尼都市区新中心的有利条件。</w:t>
      </w:r>
    </w:p>
    <w:p w14:paraId="2AF2E2A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）说明该规划措施对提升悉尼都市区宜居性的作用。</w:t>
      </w:r>
    </w:p>
    <w:p w14:paraId="31EA612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阅读文字材料，完成下列要求。</w:t>
      </w:r>
    </w:p>
    <w:p w14:paraId="0AB1A16C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近年来，我国青藏高原地区围绕国家能源安全战略，依托独特的自然条件，推动可再生能源的开发利</w:t>
      </w:r>
    </w:p>
    <w:p w14:paraId="3A6F92B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用，积极构建清洁低碳、安全高效的能源体系。但由于特殊的地理环境，该地区开发利用可再生能源面临</w:t>
      </w:r>
    </w:p>
    <w:p w14:paraId="72C3D58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着设备损耗快、电网稳定性差、生态保护压力大等诸多挑战。为此，需要采取有针对性的可再生能源开发</w:t>
      </w:r>
    </w:p>
    <w:p w14:paraId="5537376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利用措施，以保障青藏高原地区能源开发利用的高质量发展。</w:t>
      </w:r>
    </w:p>
    <w:p w14:paraId="4A4F3EC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）简述青藏高原地区开发利用可再生能源的资源优势。</w:t>
      </w:r>
    </w:p>
    <w:p w14:paraId="0E7A3C5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）从自然环境角度，分析青藏高原地区开发利用可再生能源面临诸多挑战的原因。</w:t>
      </w:r>
    </w:p>
    <w:p w14:paraId="7D72D55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）提出提升青藏高原地区可再生能源开发利用水平的主要措施。</w:t>
      </w:r>
    </w:p>
    <w:p w14:paraId="212A75C5">
      <w:pPr>
        <w:spacing w:before="2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</w:t>
      </w:r>
    </w:p>
    <w:p w14:paraId="1B3D6B79">
      <w:pPr>
        <w:spacing w:before="3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楷体" w:hAnsi="楷体" w:cs="楷体"/>
          <w:color w:val="000000"/>
          <w:spacing w:val="0"/>
          <w:sz w:val="21"/>
        </w:rPr>
        <w:t>虚线所示区域是南极洲土壤类型多、成土条件好的区域。该区年均温约</w:t>
      </w:r>
      <w:r>
        <w:rPr>
          <w:rFonts w:ascii="Times New Roman"/>
          <w:color w:val="000000"/>
          <w:spacing w:val="0"/>
          <w:sz w:val="21"/>
        </w:rPr>
        <w:t>-2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楷体" w:hAnsi="楷体" w:cs="楷体"/>
          <w:color w:val="000000"/>
          <w:spacing w:val="0"/>
          <w:sz w:val="21"/>
        </w:rPr>
        <w:t>，年降水量</w:t>
      </w:r>
      <w:r>
        <w:rPr>
          <w:rFonts w:ascii="Times New Roman"/>
          <w:color w:val="000000"/>
          <w:spacing w:val="0"/>
          <w:sz w:val="21"/>
        </w:rPr>
        <w:t xml:space="preserve"> 200</w:t>
      </w:r>
    </w:p>
    <w:p w14:paraId="7325B3D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~1000mm</w:t>
      </w:r>
      <w:r>
        <w:rPr>
          <w:rFonts w:ascii="楷体" w:hAnsi="楷体" w:cs="楷体"/>
          <w:color w:val="000000"/>
          <w:spacing w:val="0"/>
          <w:sz w:val="21"/>
        </w:rPr>
        <w:t>；地衣、苔藓等低等植物散布，企鹅、黑背鸥等动物栖息在海岸区。区内不同类型土壤有机质含</w:t>
      </w:r>
    </w:p>
    <w:p w14:paraId="32231F1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量差异大，其中部分区域土壤冻融扰动明显，导致土壤有机质在垂直迁移过程中呈现出独特的分布特征。</w:t>
      </w:r>
    </w:p>
    <w:p w14:paraId="16946DD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随着全球气候变化，区内土壤性状、成土过程也相应发生变化。图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楷体" w:hAnsi="楷体" w:cs="楷体"/>
          <w:color w:val="000000"/>
          <w:spacing w:val="0"/>
          <w:sz w:val="21"/>
        </w:rPr>
        <w:t>示意该区某典型土壤有机质含量垂直</w:t>
      </w:r>
    </w:p>
    <w:p w14:paraId="41229CF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分布。</w:t>
      </w:r>
    </w:p>
    <w:p w14:paraId="27DA6AE1">
      <w:pPr>
        <w:spacing w:before="136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4F34AC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FBE412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33273D9">
      <w:pPr>
        <w:pStyle w:val="6"/>
        <w:sectPr>
          <w:pgSz w:w="11900" w:h="16840"/>
          <w:pgMar w:top="612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961CD9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6" w:name="_GoBack"/>
      <w:bookmarkEnd w:id="6"/>
    </w:p>
    <w:p w14:paraId="1B4287E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9" o:spid="_x0000_s1059" o:spt="75" type="#_x0000_t75" style="position:absolute;left:0pt;margin-left:404.15pt;margin-top:72.55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212.1pt;margin-top:473.3pt;height:5.75pt;width: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116.8pt;margin-top:769.7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53pt;margin-top:66.55pt;height:140.1pt;width:305.9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350.15pt;margin-top:246.65pt;height:8pt;width:11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）指出该区土壤有机质的主要来源。</w:t>
      </w:r>
    </w:p>
    <w:p w14:paraId="56D43524">
      <w:pPr>
        <w:spacing w:before="2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）据图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，归纳该类土壤有机质含量垂直变化特点并分析原因</w:t>
      </w:r>
    </w:p>
    <w:p w14:paraId="5928C800">
      <w:pPr>
        <w:spacing w:before="32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）运用自然环境的整体性原理，说明全球气候变化对该区土壤形成与演化的影响。</w:t>
      </w:r>
    </w:p>
    <w:p w14:paraId="6C211816">
      <w:pPr>
        <w:spacing w:before="978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425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22E5E8F5-6C4C-4633-A125-C82604617556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46BF7278-E077-4AAD-8B6B-922B81041573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5BD8A56A-3D4A-467E-AC13-F14A218C529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0D2D597E-AA6A-4370-B219-931513E4038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BE76F614-9558-40DE-B8C9-39D2ED13277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59F5F243-1B06-44A0-ABAE-492C60C77042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9717BD05-648E-4E3B-B652-5ADB74734E64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311AE195-B73C-46F6-B809-35751F90B36A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9" w:fontKey="{D0B93A38-C9BE-4A4D-B59E-05B851E6013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DF88D1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DF91B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BCE154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27704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D2250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FF92A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13BD3FFB"/>
    <w:rsid w:val="28130168"/>
    <w:rsid w:val="2D461576"/>
    <w:rsid w:val="55241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40"/>
    <customShpInfo spid="_x0000_s1041"/>
    <customShpInfo spid="_x0000_s1042"/>
    <customShpInfo spid="_x0000_s1043"/>
    <customShpInfo spid="_x0000_s1044"/>
    <customShpInfo spid="_x0000_s1047"/>
    <customShpInfo spid="_x0000_s1048"/>
    <customShpInfo spid="_x0000_s1049"/>
    <customShpInfo spid="_x0000_s1052"/>
    <customShpInfo spid="_x0000_s1053"/>
    <customShpInfo spid="_x0000_s1054"/>
    <customShpInfo spid="_x0000_s1055"/>
    <customShpInfo spid="_x0000_s1056"/>
    <customShpInfo spid="_x0000_s1059"/>
    <customShpInfo spid="_x0000_s1060"/>
    <customShpInfo spid="_x0000_s1061"/>
    <customShpInfo spid="_x0000_s1062"/>
    <customShpInfo spid="_x0000_s106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12</Pages>
  <Words>2963</Words>
  <Characters>3109</Characters>
  <Lines>0</Lines>
  <Paragraphs>113</Paragraphs>
  <TotalTime>3</TotalTime>
  <ScaleCrop>false</ScaleCrop>
  <LinksUpToDate>false</LinksUpToDate>
  <CharactersWithSpaces>3329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2025-06-19T01:15:00Z</dcterms:created>
  <dc:creator>Administrator</dc:creator>
  <cp:lastModifiedBy>上帝掷骰子吗</cp:lastModifiedBy>
  <dcterms:modified xsi:type="dcterms:W3CDTF">2026-02-10T06:55:57Z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4F9E311E76044A4099BBBA7178B261E4_12</vt:lpwstr>
  </property>
</Properties>
</file>