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A902EFF">
      <w:pPr>
        <w:spacing w:before="0" w:after="0" w:line="359" w:lineRule="exact"/>
        <w:ind w:left="2274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89.8pt;margin-top:312.7pt;height:16.25pt;width:12.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53pt;margin-top:525.05pt;height:114.55pt;width:193.3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年普通高中学业水平选择性考试</w:t>
      </w:r>
    </w:p>
    <w:p w14:paraId="570E0B13">
      <w:pPr>
        <w:spacing w:before="275" w:after="0" w:line="325" w:lineRule="exact"/>
        <w:ind w:left="406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3"/>
          <w:sz w:val="32"/>
        </w:rPr>
        <w:t>（湖南卷）</w:t>
      </w:r>
    </w:p>
    <w:p w14:paraId="6E2A6DD6">
      <w:pPr>
        <w:spacing w:before="299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地理</w:t>
      </w:r>
    </w:p>
    <w:p w14:paraId="588EA4E1">
      <w:pPr>
        <w:spacing w:before="202" w:after="0" w:line="276" w:lineRule="exact"/>
        <w:ind w:left="2769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本试卷满分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100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分，考试用时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75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分钟。</w:t>
      </w:r>
    </w:p>
    <w:p w14:paraId="0A52631F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一、选择题；本题共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16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6CBF6305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项符合题目要求。</w:t>
      </w:r>
    </w:p>
    <w:p w14:paraId="2DE25E4B">
      <w:pPr>
        <w:spacing w:before="179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20 </w:t>
      </w:r>
      <w:r>
        <w:rPr>
          <w:rFonts w:ascii="楷体" w:hAnsi="楷体" w:cs="楷体"/>
          <w:color w:val="000000"/>
          <w:spacing w:val="0"/>
          <w:sz w:val="21"/>
        </w:rPr>
        <w:t>世纪</w:t>
      </w:r>
      <w:r>
        <w:rPr>
          <w:rFonts w:ascii="Times New Roman"/>
          <w:color w:val="000000"/>
          <w:spacing w:val="0"/>
          <w:sz w:val="21"/>
        </w:rPr>
        <w:t xml:space="preserve"> 90 </w:t>
      </w:r>
      <w:r>
        <w:rPr>
          <w:rFonts w:ascii="楷体" w:hAnsi="楷体" w:cs="楷体"/>
          <w:color w:val="000000"/>
          <w:spacing w:val="0"/>
          <w:sz w:val="21"/>
        </w:rPr>
        <w:t>年代至</w:t>
      </w:r>
      <w:r>
        <w:rPr>
          <w:rFonts w:ascii="Times New Roman"/>
          <w:color w:val="000000"/>
          <w:spacing w:val="0"/>
          <w:sz w:val="21"/>
        </w:rPr>
        <w:t xml:space="preserve"> 21 </w:t>
      </w:r>
      <w:r>
        <w:rPr>
          <w:rFonts w:ascii="楷体" w:hAnsi="楷体" w:cs="楷体"/>
          <w:color w:val="000000"/>
          <w:spacing w:val="0"/>
          <w:sz w:val="21"/>
        </w:rPr>
        <w:t>世纪初，爱尔兰从欧盟经济落后国家发展成为富裕的成员国，其经济增长的很大</w:t>
      </w:r>
    </w:p>
    <w:p w14:paraId="0E42D899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一部分得益于金融服务业的发展。银行、保险等大量金融机构集中在首都都柏林。有些银行将集中服务中</w:t>
      </w:r>
    </w:p>
    <w:p w14:paraId="2ECD110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心（呼叫中心、信用卡中心等）分散到都柏林地区的小城镇。据此完成下面小题。</w:t>
      </w:r>
    </w:p>
    <w:p w14:paraId="356F14F0">
      <w:pPr>
        <w:spacing w:before="24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与伦敦相比，都柏林发展国际金融服务业的优势是（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F81BABF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雄厚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经济基础</w:t>
      </w:r>
      <w:r>
        <w:rPr>
          <w:rFonts w:ascii="Times New Roman"/>
          <w:color w:val="000000"/>
          <w:spacing w:val="60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发达的科学技术</w:t>
      </w:r>
      <w:r>
        <w:rPr>
          <w:rFonts w:ascii="Times New Roman"/>
          <w:color w:val="000000"/>
          <w:spacing w:val="61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较低的行业薪酬</w:t>
      </w:r>
      <w:r>
        <w:rPr>
          <w:rFonts w:ascii="Times New Roman"/>
          <w:color w:val="000000"/>
          <w:spacing w:val="61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高素质专业人才</w:t>
      </w:r>
    </w:p>
    <w:p w14:paraId="4465BC45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集中服务中心的分散主要依赖（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D1D8D4C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客户需求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信息和通讯技术</w:t>
      </w:r>
      <w:r>
        <w:rPr>
          <w:rFonts w:ascii="Times New Roman"/>
          <w:color w:val="000000"/>
          <w:spacing w:val="61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产业基础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办公和居住环境</w:t>
      </w:r>
    </w:p>
    <w:p w14:paraId="6E5B18F1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该时期金融服务业对爱尔兰经济发展的影响有（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5CD6DAE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①提升其在欧盟的经济地位</w:t>
      </w:r>
      <w:r>
        <w:rPr>
          <w:rFonts w:ascii="Times New Roman"/>
          <w:color w:val="000000"/>
          <w:spacing w:val="1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②导致都柏林办公场地租金整体下降</w:t>
      </w:r>
    </w:p>
    <w:p w14:paraId="74E8A50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③促进国内经济的均衡发展</w:t>
      </w:r>
      <w:r>
        <w:rPr>
          <w:rFonts w:ascii="Times New Roman"/>
          <w:color w:val="000000"/>
          <w:spacing w:val="1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④扩大都柏林与国内其他地区的差距</w:t>
      </w:r>
    </w:p>
    <w:p w14:paraId="3692D3BF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②③</w:t>
      </w:r>
    </w:p>
    <w:p w14:paraId="27243EB1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近年来，广州市南沙区的法人单位数量占全市比重位次上升。预测广州市未来人口分布将从主城区向</w:t>
      </w:r>
    </w:p>
    <w:p w14:paraId="09A2EF6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南沙区扩张。下图示意广州市各区间人口规模占比。据此完成下面小题。</w:t>
      </w:r>
    </w:p>
    <w:p w14:paraId="745B2E03">
      <w:pPr>
        <w:spacing w:before="273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有关广州市人口分布说法正确的是（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583B54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Ⅱ区间比Ⅳ区间人口规模大</w:t>
      </w:r>
      <w:r>
        <w:rPr>
          <w:rFonts w:ascii="Times New Roman"/>
          <w:color w:val="000000"/>
          <w:spacing w:val="204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Ⅳ区间的人口数量最多</w:t>
      </w:r>
    </w:p>
    <w:p w14:paraId="0157541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Ⅵ区间人口数量比重约</w:t>
      </w:r>
      <w:r>
        <w:rPr>
          <w:rFonts w:ascii="Times New Roman"/>
          <w:color w:val="000000"/>
          <w:spacing w:val="0"/>
          <w:sz w:val="21"/>
        </w:rPr>
        <w:t xml:space="preserve"> 9%</w:t>
      </w:r>
      <w:r>
        <w:rPr>
          <w:rFonts w:ascii="Times New Roman"/>
          <w:color w:val="000000"/>
          <w:spacing w:val="21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VII </w:t>
      </w:r>
      <w:r>
        <w:rPr>
          <w:rFonts w:ascii="宋体" w:hAnsi="宋体" w:cs="宋体"/>
          <w:color w:val="000000"/>
          <w:spacing w:val="0"/>
          <w:sz w:val="21"/>
        </w:rPr>
        <w:t>区间比</w:t>
      </w:r>
      <w:r>
        <w:rPr>
          <w:rFonts w:ascii="Times New Roman"/>
          <w:color w:val="000000"/>
          <w:spacing w:val="0"/>
          <w:sz w:val="21"/>
        </w:rPr>
        <w:t xml:space="preserve"> V </w:t>
      </w:r>
      <w:r>
        <w:rPr>
          <w:rFonts w:ascii="宋体" w:hAnsi="宋体" w:cs="宋体"/>
          <w:color w:val="000000"/>
          <w:spacing w:val="0"/>
          <w:sz w:val="21"/>
        </w:rPr>
        <w:t>区间人口规模大</w:t>
      </w:r>
    </w:p>
    <w:p w14:paraId="6E99CBF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影响广州市未来人口分布向南沙区扩张的主要因素是（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B7F2B5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就业承载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通勤时间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医疗卫生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文化教育</w:t>
      </w:r>
    </w:p>
    <w:p w14:paraId="4FB91043">
      <w:pPr>
        <w:spacing w:before="24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5C69CF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605828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2D9B065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955A51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50FA002">
      <w:pPr>
        <w:spacing w:before="0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4" o:spid="_x0000_s1034" o:spt="75" type="#_x0000_t75" style="position:absolute;left:0pt;margin-left:404.15pt;margin-top:72.55pt;height:2.75pt;width:2.7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212.1pt;margin-top:473.3pt;height:5.75pt;width: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116.8pt;margin-top:769.7pt;height:2.75pt;width:2.7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53pt;margin-top:140.85pt;height:100.3pt;width:167.8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53pt;margin-top:269.9pt;height:92.05pt;width:414.6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53pt;margin-top:576.1pt;height:119.8pt;width:290.8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浙江省楠溪江流域的屿北村坐落在山麓河谷地带。在由南向北发展的过程中，该传统村落逐渐形成了</w:t>
      </w:r>
    </w:p>
    <w:p w14:paraId="035A51B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“小型房屋-中型院落-房族大院-族群单元”</w:t>
      </w:r>
      <w:r>
        <w:rPr>
          <w:rFonts w:ascii="Times New Roman"/>
          <w:color w:val="000000"/>
          <w:spacing w:val="0"/>
          <w:sz w:val="21"/>
        </w:rPr>
        <w:t xml:space="preserve">4 </w:t>
      </w:r>
      <w:r>
        <w:rPr>
          <w:rFonts w:ascii="楷体" w:hAnsi="楷体" w:cs="楷体"/>
          <w:color w:val="000000"/>
          <w:spacing w:val="0"/>
          <w:sz w:val="21"/>
        </w:rPr>
        <w:t>个层级的院落空间形态。宗祠具有同族人共同祭祀祖先的功</w:t>
      </w:r>
    </w:p>
    <w:p w14:paraId="3561AB8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能，通常坐落在村落中心位置。下图示意屿北村空间形态。据此完成下面小题。</w:t>
      </w:r>
    </w:p>
    <w:p w14:paraId="5AAF9212">
      <w:pPr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与该村落空间形态特征最符合的是（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5E063AF">
      <w:pPr>
        <w:spacing w:before="209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</w:t>
      </w:r>
      <w:r>
        <w:rPr>
          <w:rFonts w:ascii="Times New Roman"/>
          <w:color w:val="000000"/>
          <w:spacing w:val="19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②</w:t>
      </w:r>
      <w:r>
        <w:rPr>
          <w:rFonts w:ascii="Times New Roman"/>
          <w:color w:val="000000"/>
          <w:spacing w:val="193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③</w:t>
      </w:r>
      <w:r>
        <w:rPr>
          <w:rFonts w:ascii="Times New Roman"/>
          <w:color w:val="000000"/>
          <w:spacing w:val="192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④</w:t>
      </w:r>
    </w:p>
    <w:p w14:paraId="1FFAE23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该村院落空间形态层级形成的主要原因是（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5D5C8F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适应地理环境</w:t>
      </w:r>
      <w:r>
        <w:rPr>
          <w:rFonts w:ascii="Times New Roman"/>
          <w:color w:val="000000"/>
          <w:spacing w:val="32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家族繁衍发展</w:t>
      </w:r>
    </w:p>
    <w:p w14:paraId="0E10E76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道路交通演变</w:t>
      </w:r>
      <w:r>
        <w:rPr>
          <w:rFonts w:ascii="Times New Roman"/>
          <w:color w:val="000000"/>
          <w:spacing w:val="326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居住条件改善</w:t>
      </w:r>
    </w:p>
    <w:p w14:paraId="3D6B1AB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该村宗祠未处于村落中心的主要原因是（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2F02EB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村落发展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聚落布局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街巷格局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风俗习惯</w:t>
      </w:r>
    </w:p>
    <w:p w14:paraId="68988DAF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塞尔韦拉河是西班牙东部的季节性河流，全长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44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千米，中下游流经三个地质构造单元。下游河道因过</w:t>
      </w:r>
    </w:p>
    <w:p w14:paraId="65C0C87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去开采砂砾破坏严重，后来政府对开采行为进行了限制，河道缓慢恢复。下图示意该河流中下游甲、乙、</w:t>
      </w:r>
    </w:p>
    <w:p w14:paraId="18E3857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丙三个河段的河道形态。据此完成下面小题。</w:t>
      </w:r>
    </w:p>
    <w:p w14:paraId="3B22822F">
      <w:pPr>
        <w:spacing w:before="273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大量开采砂砾会导致丙河段（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81DDA3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河道拓宽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流量增大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河床下降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水位上升</w:t>
      </w:r>
    </w:p>
    <w:p w14:paraId="5E2C8C3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该河流水动力最弱、沉积恢复最慢的季节是（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456E0EB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47A9C2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B57566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5912526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67A8F2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4BE6D47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42" o:spid="_x0000_s1042" o:spt="75" type="#_x0000_t75" style="position:absolute;left:0pt;margin-left:404.15pt;margin-top:72.55pt;height:2.75pt;width:2.7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212.1pt;margin-top:473.3pt;height:5.75pt;width: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116.8pt;margin-top:769.7pt;height:2.75pt;width:2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60.55pt;margin-top:84.55pt;height:8.75pt;width:4.2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53pt;margin-top:241.4pt;height:164.85pt;width:329.9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春季</w:t>
      </w:r>
      <w:r>
        <w:rPr>
          <w:rFonts w:ascii="Times New Roman"/>
          <w:color w:val="000000"/>
          <w:spacing w:val="16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夏季</w:t>
      </w:r>
      <w:r>
        <w:rPr>
          <w:rFonts w:ascii="Times New Roman"/>
          <w:color w:val="000000"/>
          <w:spacing w:val="16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秋季</w:t>
      </w:r>
      <w:r>
        <w:rPr>
          <w:rFonts w:ascii="Times New Roman"/>
          <w:color w:val="000000"/>
          <w:spacing w:val="166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冬季</w:t>
      </w:r>
    </w:p>
    <w:p w14:paraId="4A7CD527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为了促进丙河段的河道沉积恢复，下列措施合理的是（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B4A133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①甲河段</w:t>
      </w:r>
      <w:r>
        <w:rPr>
          <w:rFonts w:ascii="Times New Roman" w:hAnsi="Times New Roman" w:cs="Times New Roman"/>
          <w:color w:val="000000"/>
          <w:spacing w:val="0"/>
          <w:sz w:val="21"/>
        </w:rPr>
        <w:t>——</w:t>
      </w:r>
      <w:r>
        <w:rPr>
          <w:rFonts w:ascii="宋体" w:hAnsi="宋体" w:cs="宋体"/>
          <w:color w:val="000000"/>
          <w:spacing w:val="0"/>
          <w:sz w:val="21"/>
        </w:rPr>
        <w:t>植树造林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②甲河段</w:t>
      </w:r>
      <w:r>
        <w:rPr>
          <w:rFonts w:ascii="Times New Roman" w:hAnsi="Times New Roman" w:cs="Times New Roman"/>
          <w:color w:val="000000"/>
          <w:spacing w:val="0"/>
          <w:sz w:val="21"/>
        </w:rPr>
        <w:t>——</w:t>
      </w:r>
      <w:r>
        <w:rPr>
          <w:rFonts w:ascii="宋体" w:hAnsi="宋体" w:cs="宋体"/>
          <w:color w:val="000000"/>
          <w:spacing w:val="0"/>
          <w:sz w:val="21"/>
        </w:rPr>
        <w:t>冲淤排沙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③乙河段</w:t>
      </w:r>
      <w:r>
        <w:rPr>
          <w:rFonts w:ascii="Times New Roman" w:hAnsi="Times New Roman" w:cs="Times New Roman"/>
          <w:color w:val="000000"/>
          <w:spacing w:val="0"/>
          <w:sz w:val="21"/>
        </w:rPr>
        <w:t>——</w:t>
      </w:r>
      <w:r>
        <w:rPr>
          <w:rFonts w:ascii="宋体" w:hAnsi="宋体" w:cs="宋体"/>
          <w:color w:val="000000"/>
          <w:spacing w:val="0"/>
          <w:sz w:val="21"/>
        </w:rPr>
        <w:t>裁弯取直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④丙河段</w:t>
      </w:r>
      <w:r>
        <w:rPr>
          <w:rFonts w:ascii="Times New Roman" w:hAnsi="Times New Roman" w:cs="Times New Roman"/>
          <w:color w:val="000000"/>
          <w:spacing w:val="0"/>
          <w:sz w:val="21"/>
        </w:rPr>
        <w:t>——</w:t>
      </w:r>
      <w:r>
        <w:rPr>
          <w:rFonts w:ascii="宋体" w:hAnsi="宋体" w:cs="宋体"/>
          <w:color w:val="000000"/>
          <w:spacing w:val="0"/>
          <w:sz w:val="21"/>
        </w:rPr>
        <w:t>人工补沙</w:t>
      </w:r>
    </w:p>
    <w:p w14:paraId="0288A44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②③</w:t>
      </w:r>
    </w:p>
    <w:p w14:paraId="25232CA2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2"/>
          <w:sz w:val="21"/>
        </w:rPr>
        <w:t>高寒荒漠是祁连山垂直带谱的组成部分，对气温变化响应敏感。祁连山冷龙岭海拔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3300-4400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米为高山</w:t>
      </w:r>
    </w:p>
    <w:p w14:paraId="5826E4E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2"/>
          <w:sz w:val="21"/>
        </w:rPr>
        <w:t>草甸与高寒荒漠的交错地带。下图示意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1990-2010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年祁连山冷龙岭不同海拔高寒荒漠的变化情况。据此完成</w:t>
      </w:r>
    </w:p>
    <w:p w14:paraId="6A1EADE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下面小题。</w:t>
      </w:r>
    </w:p>
    <w:p w14:paraId="11D0681E">
      <w:pPr>
        <w:spacing w:before="367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1990</w:t>
      </w:r>
      <w:r>
        <w:rPr>
          <w:rFonts w:ascii="宋体" w:hAnsi="宋体" w:cs="宋体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0"/>
          <w:sz w:val="21"/>
        </w:rPr>
        <w:t xml:space="preserve">2000 </w:t>
      </w:r>
      <w:r>
        <w:rPr>
          <w:rFonts w:ascii="宋体" w:hAnsi="宋体" w:cs="宋体"/>
          <w:color w:val="000000"/>
          <w:spacing w:val="0"/>
          <w:sz w:val="21"/>
        </w:rPr>
        <w:t>年相比，</w:t>
      </w:r>
      <w:r>
        <w:rPr>
          <w:rFonts w:ascii="Times New Roman"/>
          <w:color w:val="000000"/>
          <w:spacing w:val="0"/>
          <w:sz w:val="21"/>
        </w:rPr>
        <w:t>2000</w:t>
      </w:r>
      <w:r>
        <w:rPr>
          <w:rFonts w:ascii="宋体" w:hAnsi="宋体" w:cs="宋体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0"/>
          <w:sz w:val="21"/>
        </w:rPr>
        <w:t xml:space="preserve">2010 </w:t>
      </w:r>
      <w:r>
        <w:rPr>
          <w:rFonts w:ascii="宋体" w:hAnsi="宋体" w:cs="宋体"/>
          <w:color w:val="000000"/>
          <w:spacing w:val="0"/>
          <w:sz w:val="21"/>
        </w:rPr>
        <w:t>年高寒荒漠总面积变化趋势和可能原因是（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96828F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萎缩变缓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气温上升幅度减小</w:t>
      </w:r>
      <w:r>
        <w:rPr>
          <w:rFonts w:ascii="Times New Roman"/>
          <w:color w:val="000000"/>
          <w:spacing w:val="178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萎缩变缓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气温上升幅度增大</w:t>
      </w:r>
    </w:p>
    <w:p w14:paraId="45D13FA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扩张加剧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气温上升幅度减小</w:t>
      </w:r>
      <w:r>
        <w:rPr>
          <w:rFonts w:ascii="Times New Roman"/>
          <w:color w:val="000000"/>
          <w:spacing w:val="179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扩张加剧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气温下降幅度增大</w:t>
      </w:r>
    </w:p>
    <w:p w14:paraId="6953B06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3700-3800 </w:t>
      </w:r>
      <w:r>
        <w:rPr>
          <w:rFonts w:ascii="宋体" w:hAnsi="宋体" w:cs="宋体"/>
          <w:color w:val="000000"/>
          <w:spacing w:val="0"/>
          <w:sz w:val="21"/>
        </w:rPr>
        <w:t>米相比，</w:t>
      </w:r>
      <w:r>
        <w:rPr>
          <w:rFonts w:ascii="Times New Roman"/>
          <w:color w:val="000000"/>
          <w:spacing w:val="0"/>
          <w:sz w:val="21"/>
        </w:rPr>
        <w:t xml:space="preserve">3600-3700 </w:t>
      </w:r>
      <w:r>
        <w:rPr>
          <w:rFonts w:ascii="宋体" w:hAnsi="宋体" w:cs="宋体"/>
          <w:color w:val="000000"/>
          <w:spacing w:val="0"/>
          <w:sz w:val="21"/>
        </w:rPr>
        <w:t>米在</w:t>
      </w:r>
      <w:r>
        <w:rPr>
          <w:rFonts w:ascii="Times New Roman"/>
          <w:color w:val="000000"/>
          <w:spacing w:val="0"/>
          <w:sz w:val="21"/>
        </w:rPr>
        <w:t xml:space="preserve"> 1990-2000 </w:t>
      </w:r>
      <w:r>
        <w:rPr>
          <w:rFonts w:ascii="宋体" w:hAnsi="宋体" w:cs="宋体"/>
          <w:color w:val="000000"/>
          <w:spacing w:val="0"/>
          <w:sz w:val="21"/>
        </w:rPr>
        <w:t>年高寒荒漠萎缩面积小，这主要是该地带（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D14AA0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高寒荒漠分布面积小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高山草甸生长条件差</w:t>
      </w:r>
    </w:p>
    <w:p w14:paraId="1407357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高寒荒漠分布面积大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高山草甸分布面积小</w:t>
      </w:r>
    </w:p>
    <w:p w14:paraId="09EBEB1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下列特征中，最有可能导致</w:t>
      </w:r>
      <w:r>
        <w:rPr>
          <w:rFonts w:ascii="Times New Roman"/>
          <w:color w:val="000000"/>
          <w:spacing w:val="0"/>
          <w:sz w:val="21"/>
        </w:rPr>
        <w:t xml:space="preserve"> 1990-2010 </w:t>
      </w:r>
      <w:r>
        <w:rPr>
          <w:rFonts w:ascii="宋体" w:hAnsi="宋体" w:cs="宋体"/>
          <w:color w:val="000000"/>
          <w:spacing w:val="0"/>
          <w:sz w:val="21"/>
        </w:rPr>
        <w:t>年高寒荒漠扩张区呈零星分布状态的是（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0CB553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海拔高，热量条件差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风力大，水分条件差</w:t>
      </w:r>
    </w:p>
    <w:p w14:paraId="0DBB264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气温低，土壤养分少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坡度大，土壤不稳定</w:t>
      </w:r>
    </w:p>
    <w:p w14:paraId="6E5F6851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中欧地区城市夏季常出现热浪天气，街道两侧建筑物和树木的阴影可缓解行人的热感，行人热感可用</w:t>
      </w:r>
    </w:p>
    <w:p w14:paraId="0151B26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生理等效温度（</w:t>
      </w:r>
      <w:r>
        <w:rPr>
          <w:rFonts w:ascii="Times New Roman"/>
          <w:color w:val="000000"/>
          <w:spacing w:val="0"/>
          <w:sz w:val="21"/>
        </w:rPr>
        <w:t>P</w:t>
      </w:r>
      <w:r>
        <w:rPr>
          <w:rFonts w:ascii="楷体" w:hAnsi="楷体" w:cs="楷体"/>
          <w:color w:val="000000"/>
          <w:spacing w:val="0"/>
          <w:sz w:val="21"/>
        </w:rPr>
        <w:t>）衡量。图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楷体" w:hAnsi="楷体" w:cs="楷体"/>
          <w:color w:val="000000"/>
          <w:spacing w:val="0"/>
          <w:sz w:val="21"/>
        </w:rPr>
        <w:t>示意中欧地区某市（</w:t>
      </w:r>
      <w:r>
        <w:rPr>
          <w:rFonts w:ascii="Times New Roman"/>
          <w:color w:val="000000"/>
          <w:spacing w:val="0"/>
          <w:sz w:val="21"/>
        </w:rPr>
        <w:t>48</w:t>
      </w:r>
      <w:r>
        <w:rPr>
          <w:rFonts w:ascii="楷体" w:hAnsi="楷体" w:cs="楷体"/>
          <w:color w:val="000000"/>
          <w:spacing w:val="0"/>
          <w:sz w:val="21"/>
        </w:rPr>
        <w:t>°</w:t>
      </w:r>
      <w:r>
        <w:rPr>
          <w:rFonts w:ascii="Times New Roman"/>
          <w:color w:val="000000"/>
          <w:spacing w:val="0"/>
          <w:sz w:val="21"/>
        </w:rPr>
        <w:t>N</w:t>
      </w:r>
      <w:r>
        <w:rPr>
          <w:rFonts w:ascii="楷体" w:hAnsi="楷体" w:cs="楷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8</w:t>
      </w:r>
      <w:r>
        <w:rPr>
          <w:rFonts w:ascii="楷体" w:hAnsi="楷体" w:cs="楷体"/>
          <w:color w:val="000000"/>
          <w:spacing w:val="0"/>
          <w:sz w:val="21"/>
        </w:rPr>
        <w:t>°</w:t>
      </w:r>
      <w:r>
        <w:rPr>
          <w:rFonts w:ascii="Times New Roman"/>
          <w:color w:val="000000"/>
          <w:spacing w:val="0"/>
          <w:sz w:val="21"/>
        </w:rPr>
        <w:t>E</w:t>
      </w:r>
      <w:r>
        <w:rPr>
          <w:rFonts w:ascii="楷体" w:hAnsi="楷体" w:cs="楷体"/>
          <w:color w:val="000000"/>
          <w:spacing w:val="0"/>
          <w:sz w:val="21"/>
        </w:rPr>
        <w:t>）一条东西向街道行道树布置，图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楷体" w:hAnsi="楷体" w:cs="楷体"/>
          <w:color w:val="000000"/>
          <w:spacing w:val="0"/>
          <w:sz w:val="21"/>
        </w:rPr>
        <w:t>示意</w:t>
      </w:r>
    </w:p>
    <w:p w14:paraId="02C2903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该街道某年夏至日（天气晴朗、风力微弱）当地时间</w:t>
      </w:r>
      <w:r>
        <w:rPr>
          <w:rFonts w:ascii="Times New Roman"/>
          <w:color w:val="000000"/>
          <w:spacing w:val="0"/>
          <w:sz w:val="21"/>
        </w:rPr>
        <w:t xml:space="preserve"> 9-15 </w:t>
      </w:r>
      <w:r>
        <w:rPr>
          <w:rFonts w:ascii="楷体" w:hAnsi="楷体" w:cs="楷体"/>
          <w:color w:val="000000"/>
          <w:spacing w:val="0"/>
          <w:sz w:val="21"/>
        </w:rPr>
        <w:t>时</w:t>
      </w:r>
      <w:r>
        <w:rPr>
          <w:rFonts w:ascii="Times New Roman"/>
          <w:color w:val="000000"/>
          <w:spacing w:val="0"/>
          <w:sz w:val="21"/>
        </w:rPr>
        <w:t xml:space="preserve"> P </w:t>
      </w:r>
      <w:r>
        <w:rPr>
          <w:rFonts w:ascii="楷体" w:hAnsi="楷体" w:cs="楷体"/>
          <w:color w:val="000000"/>
          <w:spacing w:val="0"/>
          <w:sz w:val="21"/>
        </w:rPr>
        <w:t>平均值的分布。</w:t>
      </w:r>
      <w:r>
        <w:rPr>
          <w:rFonts w:ascii="Times New Roman"/>
          <w:color w:val="000000"/>
          <w:spacing w:val="0"/>
          <w:sz w:val="21"/>
        </w:rPr>
        <w:t>tan65.5</w:t>
      </w:r>
      <w:r>
        <w:rPr>
          <w:rFonts w:ascii="楷体" w:hAnsi="楷体" w:cs="楷体"/>
          <w:color w:val="000000"/>
          <w:spacing w:val="0"/>
          <w:sz w:val="21"/>
        </w:rPr>
        <w:t>°≈</w:t>
      </w:r>
      <w:r>
        <w:rPr>
          <w:rFonts w:ascii="Times New Roman"/>
          <w:color w:val="000000"/>
          <w:spacing w:val="0"/>
          <w:sz w:val="21"/>
        </w:rPr>
        <w:t>2.19</w:t>
      </w:r>
      <w:r>
        <w:rPr>
          <w:rFonts w:ascii="楷体" w:hAnsi="楷体" w:cs="楷体"/>
          <w:color w:val="000000"/>
          <w:spacing w:val="0"/>
          <w:sz w:val="21"/>
        </w:rPr>
        <w:t>。据此完成</w:t>
      </w:r>
    </w:p>
    <w:p w14:paraId="51638D1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下面小题。</w:t>
      </w:r>
    </w:p>
    <w:p w14:paraId="283DF90C">
      <w:pPr>
        <w:spacing w:before="121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C7683F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0AEAE2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6F69C52">
      <w:pPr>
        <w:pStyle w:val="6"/>
        <w:sectPr>
          <w:pgSz w:w="11900" w:h="16840"/>
          <w:pgMar w:top="1441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7B0162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C889D2E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7" o:spid="_x0000_s1047" o:spt="75" type="#_x0000_t75" style="position:absolute;left:0pt;margin-left:53pt;margin-top:67pt;height:124.65pt;width:339.3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/>
            <v:imagedata r:id="rId21" croptop="11021f" cropright="-4743f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404.15pt;margin-top:72.55pt;height:2.75pt;width:2.7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212.1pt;margin-top:473.3pt;height:5.75pt;width: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116.8pt;margin-top:769.7pt;height:2.75pt;width:2.7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53pt;margin-top:493.55pt;height:71.8pt;width:301.4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184.35pt;margin-top:618.85pt;height:16.25pt;width:12.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甲、乙两处</w:t>
      </w:r>
      <w:r>
        <w:rPr>
          <w:rFonts w:ascii="Times New Roman"/>
          <w:color w:val="000000"/>
          <w:spacing w:val="0"/>
          <w:sz w:val="21"/>
        </w:rPr>
        <w:t xml:space="preserve"> P </w:t>
      </w:r>
      <w:r>
        <w:rPr>
          <w:rFonts w:ascii="宋体" w:hAnsi="宋体" w:cs="宋体"/>
          <w:color w:val="000000"/>
          <w:spacing w:val="0"/>
          <w:sz w:val="21"/>
        </w:rPr>
        <w:t>平均值的差异主要源于（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0BACEE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全时段两侧建筑物的遮阴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上午西侧行道树的遮阴</w:t>
      </w:r>
    </w:p>
    <w:p w14:paraId="0E3E255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全时段东侧行道树的遮阴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下午西侧行道树的遮阴</w:t>
      </w:r>
    </w:p>
    <w:p w14:paraId="47BB2A5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同样情境下，若降低两侧建筑物高度至</w:t>
      </w:r>
      <w:r>
        <w:rPr>
          <w:rFonts w:ascii="Times New Roman"/>
          <w:color w:val="000000"/>
          <w:spacing w:val="0"/>
          <w:sz w:val="21"/>
        </w:rPr>
        <w:t xml:space="preserve"> 10 </w:t>
      </w:r>
      <w:r>
        <w:rPr>
          <w:rFonts w:ascii="宋体" w:hAnsi="宋体" w:cs="宋体"/>
          <w:color w:val="000000"/>
          <w:spacing w:val="0"/>
          <w:sz w:val="21"/>
        </w:rPr>
        <w:t>米，乙、丙两处</w:t>
      </w:r>
      <w:r>
        <w:rPr>
          <w:rFonts w:ascii="Times New Roman"/>
          <w:color w:val="000000"/>
          <w:spacing w:val="0"/>
          <w:sz w:val="21"/>
        </w:rPr>
        <w:t xml:space="preserve"> P </w:t>
      </w:r>
      <w:r>
        <w:rPr>
          <w:rFonts w:ascii="宋体" w:hAnsi="宋体" w:cs="宋体"/>
          <w:color w:val="000000"/>
          <w:spacing w:val="0"/>
          <w:sz w:val="21"/>
        </w:rPr>
        <w:t>平均值的差异将（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DBB853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变小</w:t>
      </w:r>
      <w:r>
        <w:rPr>
          <w:rFonts w:ascii="Times New Roman"/>
          <w:color w:val="000000"/>
          <w:spacing w:val="165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变大</w:t>
      </w:r>
      <w:r>
        <w:rPr>
          <w:rFonts w:ascii="Times New Roman"/>
          <w:color w:val="000000"/>
          <w:spacing w:val="16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不变</w:t>
      </w:r>
      <w:r>
        <w:rPr>
          <w:rFonts w:ascii="Times New Roman"/>
          <w:color w:val="000000"/>
          <w:spacing w:val="166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不确定</w:t>
      </w:r>
    </w:p>
    <w:p w14:paraId="178CCA88">
      <w:pPr>
        <w:spacing w:before="16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490F44AD">
      <w:pPr>
        <w:spacing w:before="1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阅读图文材料，完成下列要求。</w:t>
      </w:r>
    </w:p>
    <w:p w14:paraId="2D86CAB7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哥伦比亚首都波哥大市位于安第斯山北部山间盆地，旱雨季分明，暴雨和洪水多发，洪泛平原广布。</w:t>
      </w:r>
    </w:p>
    <w:p w14:paraId="655BCDB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1492 </w:t>
      </w:r>
      <w:r>
        <w:rPr>
          <w:rFonts w:ascii="楷体" w:hAnsi="楷体" w:cs="楷体"/>
          <w:color w:val="000000"/>
          <w:spacing w:val="0"/>
          <w:sz w:val="21"/>
        </w:rPr>
        <w:t>年以前，当地居民就开始在洪泛平原修建脊田，并利用脊田的不同形态对地表径流进行调控，发展农</w:t>
      </w:r>
    </w:p>
    <w:p w14:paraId="20B116D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业生产。其中，垂直脊田和平行脊田临近河流，棋盘脊田距离河流较远。后来，随着社会经济的发展，脊</w:t>
      </w:r>
    </w:p>
    <w:p w14:paraId="679AA2A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田逐渐从人们的生活中消失。进入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21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世纪，城市向洪泛平原快速扩张，面临严重的雨洪危机。近年来，城</w:t>
      </w:r>
    </w:p>
    <w:p w14:paraId="0111B54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市规划者尝试将历史脊田与现代城市功能相结合，如居住区规划设计中，在现有建筑之间建造雨水花园，</w:t>
      </w:r>
    </w:p>
    <w:p w14:paraId="1496EE2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并将停车场改造为下沉式的雨水储存场所。下图示意三种不同形态的脊田。</w:t>
      </w:r>
    </w:p>
    <w:p w14:paraId="5E6D8B3F">
      <w:pPr>
        <w:spacing w:before="179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）分别推测三种脊田对雨洪的主要调控作用。</w:t>
      </w:r>
    </w:p>
    <w:p w14:paraId="4419D65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）简述脊田在现代商品农业中难以存续的原因。</w:t>
      </w:r>
    </w:p>
    <w:p w14:paraId="03E33F3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）城市规划者将历史脊田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形态融入到洪泛平原的居住区规划设计中。指出这种设计的主要目的。</w:t>
      </w:r>
    </w:p>
    <w:p w14:paraId="276DF5E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阅读图文材料，完成下列要求。</w:t>
      </w:r>
    </w:p>
    <w:p w14:paraId="01FAB0C4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海洋温度锋是指海水温度呈极大水平梯度的现象，全年广泛分布在大陆架海域。它的存在会阻挡海岸</w:t>
      </w:r>
    </w:p>
    <w:p w14:paraId="3979C79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陆源物质向外陆架海域输送。研究表明，山东半岛附近海域沿岸波短期性显著加强时，局地的海洋温度锋</w:t>
      </w:r>
    </w:p>
    <w:p w14:paraId="0780312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会被破坏，这是海岸陆源物质输送到外陆架海域的主要时期。图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楷体" w:hAnsi="楷体" w:cs="楷体"/>
          <w:color w:val="000000"/>
          <w:spacing w:val="0"/>
          <w:sz w:val="21"/>
        </w:rPr>
        <w:t>示意我国部分海域冬季海水表层温度水</w:t>
      </w:r>
    </w:p>
    <w:p w14:paraId="69CCB48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平梯度的空间分布，图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楷体" w:hAnsi="楷体" w:cs="楷体"/>
          <w:color w:val="000000"/>
          <w:spacing w:val="0"/>
          <w:sz w:val="21"/>
        </w:rPr>
        <w:t>示意</w:t>
      </w:r>
      <w:r>
        <w:rPr>
          <w:rFonts w:ascii="Times New Roman"/>
          <w:color w:val="000000"/>
          <w:spacing w:val="0"/>
          <w:sz w:val="21"/>
        </w:rPr>
        <w:t xml:space="preserve"> 2019 </w:t>
      </w:r>
      <w:r>
        <w:rPr>
          <w:rFonts w:ascii="楷体" w:hAnsi="楷体" w:cs="楷体"/>
          <w:color w:val="000000"/>
          <w:spacing w:val="0"/>
          <w:sz w:val="21"/>
        </w:rPr>
        <w:t>年冬季某日甲区域海水悬浮物浓度的空间分布。</w:t>
      </w:r>
    </w:p>
    <w:p w14:paraId="2177A944">
      <w:pPr>
        <w:spacing w:before="36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22D9AE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D2559D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E1E8A1A">
      <w:pPr>
        <w:pStyle w:val="6"/>
        <w:sectPr>
          <w:pgSz w:w="11900" w:h="16840"/>
          <w:pgMar w:top="393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46F678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80C9211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55" o:spid="_x0000_s1055" o:spt="75" type="#_x0000_t75" style="position:absolute;left:0pt;margin-left:404.15pt;margin-top:72.55pt;height:2.75pt;width:2.7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212.1pt;margin-top:473.3pt;height:5.75pt;width: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116.8pt;margin-top:769.7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53pt;margin-top:68.05pt;height:199.35pt;width:305.9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53pt;margin-top:505.55pt;height:104.8pt;width:219.6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47pt;margin-top:634.65pt;height:113.05pt;width:332.9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）简述图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中甲区域冬季海洋温度锋的空间分布，并分析该季节海洋温度锋显著的原因。</w:t>
      </w:r>
    </w:p>
    <w:p w14:paraId="42A45BE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）分析图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中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海域悬浮物浓度存在显著差异的原因。</w:t>
      </w:r>
    </w:p>
    <w:p w14:paraId="0C0DB60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）判断山东半岛附近海域陆源物质向外陆架海域输送的主要季节，并说明理由。</w:t>
      </w:r>
    </w:p>
    <w:p w14:paraId="6FC428B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阅读图文材料，完成下列要求。</w:t>
      </w:r>
    </w:p>
    <w:p w14:paraId="16E398CF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我国西部某沙漠年降水量</w:t>
      </w:r>
      <w:r>
        <w:rPr>
          <w:rFonts w:ascii="Times New Roman"/>
          <w:color w:val="000000"/>
          <w:spacing w:val="0"/>
          <w:sz w:val="21"/>
        </w:rPr>
        <w:t xml:space="preserve"> 70</w:t>
      </w:r>
      <w:r>
        <w:rPr>
          <w:rFonts w:ascii="楷体" w:hAnsi="楷体" w:cs="楷体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0"/>
          <w:sz w:val="21"/>
        </w:rPr>
        <w:t>150mm</w:t>
      </w:r>
      <w:r>
        <w:rPr>
          <w:rFonts w:ascii="楷体" w:hAnsi="楷体" w:cs="楷体"/>
          <w:color w:val="000000"/>
          <w:spacing w:val="0"/>
          <w:sz w:val="21"/>
        </w:rPr>
        <w:t>，冬季有一定厚度的稳定积雪。某些短期生植物在该沙漠广泛分</w:t>
      </w:r>
    </w:p>
    <w:p w14:paraId="665D5B2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布，其生长期在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楷体" w:hAnsi="楷体" w:cs="楷体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0"/>
          <w:sz w:val="21"/>
        </w:rPr>
        <w:t xml:space="preserve">6 </w:t>
      </w:r>
      <w:r>
        <w:rPr>
          <w:rFonts w:ascii="楷体" w:hAnsi="楷体" w:cs="楷体"/>
          <w:color w:val="000000"/>
          <w:spacing w:val="0"/>
          <w:sz w:val="21"/>
        </w:rPr>
        <w:t>月，根系深约</w:t>
      </w:r>
      <w:r>
        <w:rPr>
          <w:rFonts w:ascii="Times New Roman"/>
          <w:color w:val="000000"/>
          <w:spacing w:val="0"/>
          <w:sz w:val="21"/>
        </w:rPr>
        <w:t xml:space="preserve"> 30cm</w:t>
      </w:r>
      <w:r>
        <w:rPr>
          <w:rFonts w:ascii="楷体" w:hAnsi="楷体" w:cs="楷体"/>
          <w:color w:val="000000"/>
          <w:spacing w:val="0"/>
          <w:sz w:val="21"/>
        </w:rPr>
        <w:t>。某中学地理小组为了研究沙垄不同地貌部位表层土壤水分与植</w:t>
      </w:r>
    </w:p>
    <w:p w14:paraId="0616AA7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被生长的关系，制定了如下调查方案：</w:t>
      </w:r>
    </w:p>
    <w:p w14:paraId="6B362CB8">
      <w:pPr>
        <w:spacing w:before="237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在一条典型沙垄上选定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楷体" w:hAnsi="楷体" w:cs="楷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楷体" w:hAnsi="楷体" w:cs="楷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C </w:t>
      </w:r>
      <w:r>
        <w:rPr>
          <w:rFonts w:ascii="楷体" w:hAnsi="楷体" w:cs="楷体"/>
          <w:color w:val="000000"/>
          <w:spacing w:val="-3"/>
          <w:sz w:val="21"/>
        </w:rPr>
        <w:t>三个采样地（下图）、合理设置样方，通过日测获取植被覆盖度，在</w:t>
      </w:r>
    </w:p>
    <w:p w14:paraId="63D037C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样方中采集</w:t>
      </w:r>
      <w:r>
        <w:rPr>
          <w:rFonts w:ascii="Times New Roman"/>
          <w:color w:val="000000"/>
          <w:spacing w:val="0"/>
          <w:sz w:val="21"/>
        </w:rPr>
        <w:t xml:space="preserve"> 20cm </w:t>
      </w:r>
      <w:r>
        <w:rPr>
          <w:rFonts w:ascii="楷体" w:hAnsi="楷体" w:cs="楷体"/>
          <w:color w:val="000000"/>
          <w:spacing w:val="0"/>
          <w:sz w:val="21"/>
        </w:rPr>
        <w:t>深度的土壤样品，密封后送实验室测量样品土壤含水量。在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楷体" w:hAnsi="楷体" w:cs="楷体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0"/>
          <w:sz w:val="21"/>
        </w:rPr>
        <w:t xml:space="preserve">7 </w:t>
      </w:r>
      <w:r>
        <w:rPr>
          <w:rFonts w:ascii="楷体" w:hAnsi="楷体" w:cs="楷体"/>
          <w:color w:val="000000"/>
          <w:spacing w:val="0"/>
          <w:sz w:val="21"/>
        </w:rPr>
        <w:t>月分</w:t>
      </w:r>
      <w:r>
        <w:rPr>
          <w:rFonts w:ascii="Times New Roman"/>
          <w:color w:val="000000"/>
          <w:spacing w:val="0"/>
          <w:sz w:val="21"/>
        </w:rPr>
        <w:t xml:space="preserve"> 7 </w:t>
      </w:r>
      <w:r>
        <w:rPr>
          <w:rFonts w:ascii="楷体" w:hAnsi="楷体" w:cs="楷体"/>
          <w:color w:val="000000"/>
          <w:spacing w:val="0"/>
          <w:sz w:val="21"/>
        </w:rPr>
        <w:t>次按同样的方法</w:t>
      </w:r>
    </w:p>
    <w:p w14:paraId="178C498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进行采样调查。</w:t>
      </w:r>
    </w:p>
    <w:p w14:paraId="531E8FE7">
      <w:pPr>
        <w:spacing w:before="2433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5"/>
          <w:sz w:val="21"/>
        </w:rPr>
        <w:t>通过调查和实验，获得了相关数据（下表）。</w:t>
      </w:r>
    </w:p>
    <w:p w14:paraId="16C33493">
      <w:pPr>
        <w:spacing w:before="327" w:after="0" w:line="243" w:lineRule="exact"/>
        <w:ind w:left="111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楷体" w:hAnsi="楷体" w:cs="楷体"/>
          <w:color w:val="000000"/>
          <w:spacing w:val="0"/>
          <w:sz w:val="21"/>
        </w:rPr>
        <w:t>样地</w:t>
      </w:r>
      <w:r>
        <w:rPr>
          <w:rFonts w:ascii="Times New Roman"/>
          <w:color w:val="000000"/>
          <w:spacing w:val="12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楷体" w:hAnsi="楷体" w:cs="楷体"/>
          <w:color w:val="000000"/>
          <w:spacing w:val="0"/>
          <w:sz w:val="21"/>
        </w:rPr>
        <w:t>样地</w:t>
      </w:r>
      <w:r>
        <w:rPr>
          <w:rFonts w:ascii="Times New Roman"/>
          <w:color w:val="000000"/>
          <w:spacing w:val="98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 </w:t>
      </w:r>
      <w:r>
        <w:rPr>
          <w:rFonts w:ascii="楷体" w:hAnsi="楷体" w:cs="楷体"/>
          <w:color w:val="000000"/>
          <w:spacing w:val="0"/>
          <w:sz w:val="21"/>
        </w:rPr>
        <w:t>样地</w:t>
      </w:r>
    </w:p>
    <w:p w14:paraId="28695F94">
      <w:pPr>
        <w:spacing w:before="402" w:after="0" w:line="220" w:lineRule="exact"/>
        <w:ind w:left="222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含水</w:t>
      </w:r>
      <w:r>
        <w:rPr>
          <w:rFonts w:ascii="Times New Roman"/>
          <w:color w:val="000000"/>
          <w:spacing w:val="35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覆盖</w:t>
      </w:r>
      <w:r>
        <w:rPr>
          <w:rFonts w:ascii="Times New Roman"/>
          <w:color w:val="000000"/>
          <w:spacing w:val="35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含水</w:t>
      </w:r>
      <w:r>
        <w:rPr>
          <w:rFonts w:ascii="Times New Roman"/>
          <w:color w:val="000000"/>
          <w:spacing w:val="35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覆盖</w:t>
      </w:r>
    </w:p>
    <w:p w14:paraId="3EA17E96">
      <w:pPr>
        <w:spacing w:before="128" w:after="0" w:line="8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采样日期</w:t>
      </w:r>
      <w:r>
        <w:rPr>
          <w:rFonts w:ascii="楷体" w:hAnsi="楷体" w:cs="楷体"/>
          <w:color w:val="000000"/>
          <w:spacing w:val="0"/>
          <w:sz w:val="21"/>
        </w:rPr>
        <w:cr/>
      </w:r>
      <w:r>
        <w:rPr>
          <w:rFonts w:ascii="Times New Roman"/>
          <w:color w:val="000000"/>
          <w:spacing w:val="10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覆盖度</w:t>
      </w:r>
    </w:p>
    <w:p w14:paraId="126EE625">
      <w:pPr>
        <w:spacing w:before="0" w:after="0" w:line="234" w:lineRule="exact"/>
        <w:ind w:left="2221" w:right="4533" w:firstLine="3293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含水量 量</w:t>
      </w:r>
      <w:r>
        <w:rPr>
          <w:rFonts w:ascii="Times New Roman"/>
          <w:color w:val="000000"/>
          <w:spacing w:val="56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度</w:t>
      </w:r>
      <w:r>
        <w:rPr>
          <w:rFonts w:ascii="Times New Roman"/>
          <w:color w:val="000000"/>
          <w:spacing w:val="56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量</w:t>
      </w:r>
      <w:r>
        <w:rPr>
          <w:rFonts w:ascii="Times New Roman"/>
          <w:color w:val="000000"/>
          <w:spacing w:val="56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度</w:t>
      </w:r>
    </w:p>
    <w:p w14:paraId="4565374C">
      <w:pPr>
        <w:spacing w:before="3" w:after="0" w:line="243" w:lineRule="exact"/>
        <w:ind w:left="111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%</w:t>
      </w:r>
      <w:r>
        <w:rPr>
          <w:rFonts w:ascii="楷体" w:hAnsi="楷体" w:cs="楷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375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%</w:t>
      </w:r>
      <w:r>
        <w:rPr>
          <w:rFonts w:ascii="楷体" w:hAnsi="楷体" w:cs="楷体"/>
          <w:color w:val="000000"/>
          <w:spacing w:val="0"/>
          <w:sz w:val="21"/>
        </w:rPr>
        <w:t>）</w:t>
      </w:r>
    </w:p>
    <w:p w14:paraId="19730205">
      <w:pPr>
        <w:spacing w:before="0" w:after="0" w:line="243" w:lineRule="exact"/>
        <w:ind w:left="222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%</w:t>
      </w:r>
      <w:r>
        <w:rPr>
          <w:rFonts w:ascii="楷体" w:hAnsi="楷体" w:cs="楷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%</w:t>
      </w:r>
      <w:r>
        <w:rPr>
          <w:rFonts w:ascii="楷体" w:hAnsi="楷体" w:cs="楷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%</w:t>
      </w:r>
      <w:r>
        <w:rPr>
          <w:rFonts w:ascii="楷体" w:hAnsi="楷体" w:cs="楷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%</w:t>
      </w:r>
      <w:r>
        <w:rPr>
          <w:rFonts w:ascii="楷体" w:hAnsi="楷体" w:cs="楷体"/>
          <w:color w:val="000000"/>
          <w:spacing w:val="0"/>
          <w:sz w:val="21"/>
        </w:rPr>
        <w:t>）</w:t>
      </w:r>
    </w:p>
    <w:p w14:paraId="632E1F1F">
      <w:pPr>
        <w:spacing w:before="63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CC23D9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721189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F363A1B">
      <w:pPr>
        <w:pStyle w:val="6"/>
        <w:sectPr>
          <w:pgSz w:w="11900" w:h="16840"/>
          <w:pgMar w:top="5499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F5EC52F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_GoBack"/>
      <w:bookmarkEnd w:id="6"/>
      <w:bookmarkStart w:id="5" w:name="br6"/>
      <w:bookmarkEnd w:id="5"/>
      <w:r>
        <w:pict>
          <v:shape id="_x0000_s1061" o:spid="_x0000_s1061" o:spt="75" type="#_x0000_t75" style="position:absolute;left:0pt;margin-left:47pt;margin-top:64.3pt;height:240.65pt;width:375.3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/>
            <v:imagedata r:id="rId26" croptop="5603f" cropright="-8347f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404.15pt;margin-top:72.55pt;height:2.75pt;width:2.7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53pt;margin-top:374.2pt;height:172.35pt;width:200.1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 xml:space="preserve">4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6 </w:t>
      </w:r>
      <w:r>
        <w:rPr>
          <w:rFonts w:ascii="楷体" w:hAnsi="楷体" w:cs="楷体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27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3.5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66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5.0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66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5.2</w:t>
      </w:r>
    </w:p>
    <w:p w14:paraId="1C9B8835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13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4.5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66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5.3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66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5.6</w:t>
      </w:r>
    </w:p>
    <w:p w14:paraId="38BAA76F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25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2.0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15</w:t>
      </w:r>
      <w:r>
        <w:rPr>
          <w:rFonts w:ascii="Times New Roman"/>
          <w:color w:val="000000"/>
          <w:spacing w:val="56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4.5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21</w:t>
      </w:r>
      <w:r>
        <w:rPr>
          <w:rFonts w:ascii="Times New Roman"/>
          <w:color w:val="000000"/>
          <w:spacing w:val="56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4.6</w:t>
      </w:r>
    </w:p>
    <w:p w14:paraId="59EF68F4">
      <w:pPr>
        <w:spacing w:before="300" w:after="0" w:line="327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15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2.6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30</w:t>
      </w:r>
      <w:r>
        <w:rPr>
          <w:rFonts w:ascii="Times New Roman"/>
          <w:color w:val="000000"/>
          <w:spacing w:val="56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51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52</w:t>
      </w:r>
      <w:r>
        <w:rPr>
          <w:rFonts w:ascii="Times New Roman"/>
          <w:color w:val="000000"/>
          <w:spacing w:val="56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1.5</w:t>
      </w:r>
    </w:p>
    <w:p w14:paraId="6E4F43F4">
      <w:pPr>
        <w:spacing w:before="378" w:after="0" w:line="327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27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2.5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30</w:t>
      </w:r>
      <w:r>
        <w:rPr>
          <w:rFonts w:ascii="Times New Roman"/>
          <w:color w:val="000000"/>
          <w:spacing w:val="56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51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38</w:t>
      </w:r>
      <w:r>
        <w:rPr>
          <w:rFonts w:ascii="Times New Roman"/>
          <w:color w:val="000000"/>
          <w:spacing w:val="56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1.0</w:t>
      </w:r>
    </w:p>
    <w:p w14:paraId="58A4BEF0">
      <w:pPr>
        <w:spacing w:before="46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13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0.7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56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0.5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30</w:t>
      </w:r>
      <w:r>
        <w:rPr>
          <w:rFonts w:ascii="Times New Roman"/>
          <w:color w:val="000000"/>
          <w:spacing w:val="56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1.0</w:t>
      </w:r>
    </w:p>
    <w:p w14:paraId="76FAA3BF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14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0.5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66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0.4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66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0.7</w:t>
      </w:r>
    </w:p>
    <w:p w14:paraId="3DD671A9">
      <w:pPr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）某同学准备在同一坐标图中绘制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三个样地覆盖度与含水量折线图，在绘制了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样地折线图</w:t>
      </w:r>
    </w:p>
    <w:p w14:paraId="5004E33D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（下图）后，发现其中一条折线存在错误。请指出错误之处。</w:t>
      </w:r>
    </w:p>
    <w:p w14:paraId="43896042">
      <w:pPr>
        <w:spacing w:before="367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）描述沙垄植被覆盖度时空总体变化特征。</w:t>
      </w:r>
    </w:p>
    <w:p w14:paraId="3AF8EE7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）分析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样地土壤含水量变化趋势的原因。</w:t>
      </w:r>
    </w:p>
    <w:p w14:paraId="3DB600B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）请对上述调查方案提出优化措施。</w:t>
      </w:r>
    </w:p>
    <w:p w14:paraId="2529895D">
      <w:pPr>
        <w:spacing w:before="315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53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FD9F089F-3410-4A72-9EDE-EDAA88D6D3C1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9900F879-11F3-48E0-B780-AA2E960AC9EE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12579811-2C1D-4481-A076-2FD95BA5EF73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B82556EF-02A9-49DF-8116-7EF75FFD270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8E9245E8-1B66-4A70-8A8D-3FD7F8BF029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C3EA8FC3-7A41-4251-B49B-065C7EDA9928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196526A1-2B00-4506-9B5F-28083C9F8A4B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1F8EBB4F-4C5F-4D57-A42A-71560BBC9C6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6D9798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E22A2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25F466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F33AE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052C3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38881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00C762C0"/>
    <w:rsid w:val="0E204644"/>
    <w:rsid w:val="62A44B92"/>
    <w:rsid w:val="72AB68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11</Pages>
  <Words>2860</Words>
  <Characters>3116</Characters>
  <Lines>1</Lines>
  <Paragraphs>116</Paragraphs>
  <TotalTime>3</TotalTime>
  <ScaleCrop>false</ScaleCrop>
  <LinksUpToDate>false</LinksUpToDate>
  <CharactersWithSpaces>3450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2025-06-25T23:42:00Z</dcterms:created>
  <dc:creator>Administrator</dc:creator>
  <cp:lastModifiedBy>上帝掷骰子吗</cp:lastModifiedBy>
  <dcterms:modified xsi:type="dcterms:W3CDTF">2026-02-10T06:55:58Z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3C81FA3B3F6E4050823BA4005C27157F_12</vt:lpwstr>
  </property>
</Properties>
</file>