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0A16AB">
      <w:pPr>
        <w:spacing w:before="0" w:after="0" w:line="359" w:lineRule="exact"/>
        <w:ind w:left="3236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190.35pt;height:126.55pt;width:294.6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53pt;margin-top:503.3pt;height:125.05pt;width:269.8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年高考地理四川卷</w:t>
      </w:r>
    </w:p>
    <w:p w14:paraId="295FBE2C">
      <w:pPr>
        <w:spacing w:before="22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一、单项选择题：本题共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</w:t>
      </w:r>
    </w:p>
    <w:p w14:paraId="5CC4FDEC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有一项是最符合题目要求的。</w:t>
      </w:r>
    </w:p>
    <w:p w14:paraId="0446B38F">
      <w:pPr>
        <w:spacing w:before="22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发展较成熟、规模和结构相对稳定的大都市区，空间上通常表现出较明显的圈层结构。下图示意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1960</w:t>
      </w:r>
      <w:r>
        <w:rPr>
          <w:rFonts w:ascii="楷体" w:hAnsi="楷体" w:cs="楷体"/>
          <w:color w:val="000000"/>
          <w:spacing w:val="0"/>
          <w:sz w:val="21"/>
        </w:rPr>
        <w:t>～</w:t>
      </w:r>
    </w:p>
    <w:p w14:paraId="4B4B3FA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2010 </w:t>
      </w:r>
      <w:r>
        <w:rPr>
          <w:rFonts w:ascii="楷体" w:hAnsi="楷体" w:cs="楷体"/>
          <w:color w:val="000000"/>
          <w:spacing w:val="0"/>
          <w:sz w:val="21"/>
        </w:rPr>
        <w:t>年某大都市区核心圈层（距老城中心</w:t>
      </w:r>
      <w:r>
        <w:rPr>
          <w:rFonts w:ascii="Times New Roman"/>
          <w:color w:val="000000"/>
          <w:spacing w:val="0"/>
          <w:sz w:val="21"/>
        </w:rPr>
        <w:t xml:space="preserve"> 5 </w:t>
      </w:r>
      <w:r>
        <w:rPr>
          <w:rFonts w:ascii="楷体" w:hAnsi="楷体" w:cs="楷体"/>
          <w:color w:val="000000"/>
          <w:spacing w:val="0"/>
          <w:sz w:val="21"/>
        </w:rPr>
        <w:t>千米范围内）的人口密度变化。据此完成下面小题。</w:t>
      </w:r>
    </w:p>
    <w:p w14:paraId="7FD24DF9">
      <w:pPr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该大都市区核心圈层人口（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26BD67A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持续向外扩散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先扩散再集聚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先集聚再扩散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持续向内集聚</w:t>
      </w:r>
    </w:p>
    <w:p w14:paraId="5C490DE2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该大都市区最可能位于（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589049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亚洲南部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欧洲西部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美洲中部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非洲东部</w:t>
      </w:r>
    </w:p>
    <w:p w14:paraId="14813AE7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信息传输、软件与信息技术服务业属于数字经济核心产业。</w:t>
      </w:r>
      <w:r>
        <w:rPr>
          <w:rFonts w:ascii="Times New Roman"/>
          <w:color w:val="000000"/>
          <w:spacing w:val="0"/>
          <w:sz w:val="21"/>
        </w:rPr>
        <w:t>2000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2020 </w:t>
      </w:r>
      <w:r>
        <w:rPr>
          <w:rFonts w:ascii="楷体" w:hAnsi="楷体" w:cs="楷体"/>
          <w:color w:val="000000"/>
          <w:spacing w:val="0"/>
          <w:sz w:val="21"/>
        </w:rPr>
        <w:t>年，杭州市的数字经济企业由</w:t>
      </w:r>
    </w:p>
    <w:p w14:paraId="2ED456C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0.27 </w:t>
      </w:r>
      <w:r>
        <w:rPr>
          <w:rFonts w:ascii="楷体" w:hAnsi="楷体" w:cs="楷体"/>
          <w:color w:val="000000"/>
          <w:spacing w:val="0"/>
          <w:sz w:val="21"/>
        </w:rPr>
        <w:t>万个增长至</w:t>
      </w:r>
      <w:r>
        <w:rPr>
          <w:rFonts w:ascii="Times New Roman"/>
          <w:color w:val="000000"/>
          <w:spacing w:val="0"/>
          <w:sz w:val="21"/>
        </w:rPr>
        <w:t xml:space="preserve"> 14.24 </w:t>
      </w:r>
      <w:r>
        <w:rPr>
          <w:rFonts w:ascii="楷体" w:hAnsi="楷体" w:cs="楷体"/>
          <w:color w:val="000000"/>
          <w:spacing w:val="0"/>
          <w:sz w:val="21"/>
        </w:rPr>
        <w:t>万个，是长三角数字经济增长极之一。数字经济企业核心集聚区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3"/>
          <w:sz w:val="21"/>
        </w:rPr>
        <w:t>2011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年前为西湖区，</w:t>
      </w:r>
    </w:p>
    <w:p w14:paraId="6C19999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2"/>
          <w:sz w:val="21"/>
        </w:rPr>
        <w:t>2011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2015 </w:t>
      </w:r>
      <w:r>
        <w:rPr>
          <w:rFonts w:ascii="楷体" w:hAnsi="楷体" w:cs="楷体"/>
          <w:color w:val="000000"/>
          <w:spacing w:val="0"/>
          <w:sz w:val="21"/>
        </w:rPr>
        <w:t>年为西湖区、滨江区，</w:t>
      </w:r>
      <w:r>
        <w:rPr>
          <w:rFonts w:ascii="Times New Roman"/>
          <w:color w:val="000000"/>
          <w:spacing w:val="0"/>
          <w:sz w:val="21"/>
        </w:rPr>
        <w:t xml:space="preserve">2015 </w:t>
      </w:r>
      <w:r>
        <w:rPr>
          <w:rFonts w:ascii="楷体" w:hAnsi="楷体" w:cs="楷体"/>
          <w:color w:val="000000"/>
          <w:spacing w:val="0"/>
          <w:sz w:val="21"/>
        </w:rPr>
        <w:t>年后为滨江区、西湖区和余杭区。下图为</w:t>
      </w:r>
      <w:r>
        <w:rPr>
          <w:rFonts w:ascii="Times New Roman"/>
          <w:color w:val="000000"/>
          <w:spacing w:val="0"/>
          <w:sz w:val="21"/>
        </w:rPr>
        <w:t xml:space="preserve"> 2014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2020 </w:t>
      </w:r>
      <w:r>
        <w:rPr>
          <w:rFonts w:ascii="楷体" w:hAnsi="楷体" w:cs="楷体"/>
          <w:color w:val="000000"/>
          <w:spacing w:val="0"/>
          <w:sz w:val="21"/>
        </w:rPr>
        <w:t>年杭州市服</w:t>
      </w:r>
    </w:p>
    <w:p w14:paraId="721BD83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务业产值构成。据此完成下面小题。</w:t>
      </w:r>
    </w:p>
    <w:p w14:paraId="16BB830E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3. 2014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2020 </w:t>
      </w:r>
      <w:r>
        <w:rPr>
          <w:rFonts w:ascii="宋体" w:hAnsi="宋体" w:cs="宋体"/>
          <w:color w:val="000000"/>
          <w:spacing w:val="0"/>
          <w:sz w:val="21"/>
        </w:rPr>
        <w:t>年，随着数字经济的发展，杭州市服务业中（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02F7C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房地产业产值减少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科学研究、技术服务业产值减少</w:t>
      </w:r>
    </w:p>
    <w:p w14:paraId="468B40B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金融业产值占比降低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其他服务业产值占比降低</w:t>
      </w:r>
    </w:p>
    <w:p w14:paraId="4E811E1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4. 2000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2020 </w:t>
      </w:r>
      <w:r>
        <w:rPr>
          <w:rFonts w:ascii="宋体" w:hAnsi="宋体" w:cs="宋体"/>
          <w:color w:val="000000"/>
          <w:spacing w:val="0"/>
          <w:sz w:val="21"/>
        </w:rPr>
        <w:t>年，杭州市数字经济（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820200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①人才净流出②企业核心集聚区不断收缩③人才净流入④企业核心集聚区不断扩张</w:t>
      </w:r>
    </w:p>
    <w:p w14:paraId="3A10D5A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①④</w:t>
      </w:r>
    </w:p>
    <w:p w14:paraId="7495CD4B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713980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689083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8D199DA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934C49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8BFB5D">
      <w:pPr>
        <w:spacing w:before="0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0" o:spid="_x0000_s1030" o:spt="75" type="#_x0000_t75" style="position:absolute;left:0pt;margin-left:404.15pt;margin-top:72.55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212.1pt;margin-top:473.3pt;height:5.75pt;width: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16.8pt;margin-top:769.7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53pt;margin-top:140.1pt;height:132.6pt;width:375.6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53pt;margin-top:583.6pt;height:151.35pt;width:260.1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大遗址是占地广、级别高、影响力强的文化遗址。大遗址区包含大遗址及其联系密切的周边环境。大</w:t>
      </w:r>
    </w:p>
    <w:p w14:paraId="5580AB0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遗址区中，农业商品化片区生产的农产品主要服务于大遗址区旅游。下图示意关中地区甲、乙大遗址区的</w:t>
      </w:r>
    </w:p>
    <w:p w14:paraId="5B3AD6A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空间功能分区。据此完成下面小题。</w:t>
      </w:r>
    </w:p>
    <w:p w14:paraId="4B7DB4D9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图中大遗址的主要功能是提供（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8610B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①农副产品②工业产品③游憩产品④精神财富</w:t>
      </w:r>
    </w:p>
    <w:p w14:paraId="5569334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①④</w:t>
      </w:r>
    </w:p>
    <w:p w14:paraId="59BE8ED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甲、乙大遗址区功能分区布局的差异反映出（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39CB61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①甲大遗址区的地形较乙平坦②甲大遗址的旅游带动力较乙大</w:t>
      </w:r>
    </w:p>
    <w:p w14:paraId="1997ABC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③乙大遗址区的地形较甲平坦④乙大遗址的旅游带动力较甲大</w:t>
      </w:r>
    </w:p>
    <w:p w14:paraId="6031D60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①④</w:t>
      </w:r>
    </w:p>
    <w:p w14:paraId="37452B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为更好保护甲中面积较大的大遗址，未来可采取的措施是（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4C29A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南侧发展仓储物流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北侧扩张工贸服务</w:t>
      </w:r>
    </w:p>
    <w:p w14:paraId="2F37D7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东侧控制旅游用地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西侧建设住宅小区</w:t>
      </w:r>
    </w:p>
    <w:p w14:paraId="1A649664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中吉乌铁路东起我国新疆喀什，途经吉尔吉斯斯坦，西至乌兹别克斯坦安集延。该铁路建成后，将成</w:t>
      </w:r>
    </w:p>
    <w:p w14:paraId="709B013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为我国经中亚联系波斯湾、地中海地区便捷的陆上通道。下图示意中吉乌铁路选线方案。据此完成下面小</w:t>
      </w:r>
    </w:p>
    <w:p w14:paraId="5B12C98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题。</w:t>
      </w:r>
    </w:p>
    <w:p w14:paraId="475BC8A8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该铁路选线最终确定为综合方案，优先考虑的因素是（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388AB79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53D344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368EE6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9B8D2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5" o:spid="_x0000_s1035" o:spt="75" type="#_x0000_t75" style="position:absolute;left:0pt;margin-left:404.15pt;margin-top:72.55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12.1pt;margin-top:473.3pt;height:5.75pt;width: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16.8pt;margin-top:769.7pt;height:2.75pt;width:2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53pt;margin-top:283.4pt;height:128.05pt;width:330.6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60.55pt;margin-top:459pt;height:8.75pt;width:4.2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①铁路线路长度②途经城镇数量③衔接规划铁路④地质构造条件</w:t>
      </w:r>
    </w:p>
    <w:p w14:paraId="1F0B57E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①④</w:t>
      </w:r>
    </w:p>
    <w:p w14:paraId="5A99CC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我国通过该铁路向吉、乌两国出口的主要商品最可能是（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07F8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工业制成品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棉花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金属矿产品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牛羊肉</w:t>
      </w:r>
    </w:p>
    <w:p w14:paraId="16827E1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该铁路建成后，对我国能源安全保障的作用体现在（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F7FC6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降低化石能源消费量占比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降低海运中东石油运价</w:t>
      </w:r>
    </w:p>
    <w:p w14:paraId="3F8710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促进能源生产结构多元化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开辟新的能源进口通道</w:t>
      </w:r>
    </w:p>
    <w:p w14:paraId="66F0C391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下图为非洲南部某地遥感影像。影像所在地为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25°S</w:t>
      </w:r>
      <w:r>
        <w:rPr>
          <w:rFonts w:ascii="楷体" w:hAnsi="楷体" w:cs="楷体"/>
          <w:color w:val="000000"/>
          <w:spacing w:val="0"/>
          <w:sz w:val="21"/>
        </w:rPr>
        <w:t>，年降水量约</w:t>
      </w:r>
      <w:r>
        <w:rPr>
          <w:rFonts w:ascii="Times New Roman"/>
          <w:color w:val="000000"/>
          <w:spacing w:val="0"/>
          <w:sz w:val="21"/>
        </w:rPr>
        <w:t xml:space="preserve"> 650 </w:t>
      </w:r>
      <w:r>
        <w:rPr>
          <w:rFonts w:ascii="楷体" w:hAnsi="楷体" w:cs="楷体"/>
          <w:color w:val="000000"/>
          <w:spacing w:val="0"/>
          <w:sz w:val="21"/>
        </w:rPr>
        <w:t>毫米。影像中河流正值枯水期，</w:t>
      </w:r>
    </w:p>
    <w:p w14:paraId="6782E5E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河流以西为克鲁格国家公园。公园南北长达数百千米，野生动物可自由迁徙。据此完成下面小题。</w:t>
      </w:r>
    </w:p>
    <w:p w14:paraId="3DDE3BF7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影像所在地的自然地带是（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5237111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热带雨林带</w:t>
      </w:r>
      <w:r>
        <w:rPr>
          <w:rFonts w:ascii="Times New Roman"/>
          <w:color w:val="000000"/>
          <w:spacing w:val="10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亚热带常绿硬叶林带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热带草原带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亚热带常绿阔叶林带</w:t>
      </w:r>
    </w:p>
    <w:p w14:paraId="53CFC515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结合局部放大图中的树影方向，推测该影像可能拍摄于当地时间（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50BAD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5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25 </w:t>
      </w:r>
      <w:r>
        <w:rPr>
          <w:rFonts w:ascii="宋体" w:hAnsi="宋体" w:cs="宋体"/>
          <w:color w:val="000000"/>
          <w:spacing w:val="0"/>
          <w:sz w:val="21"/>
        </w:rPr>
        <w:t>日上午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5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25 </w:t>
      </w:r>
      <w:r>
        <w:rPr>
          <w:rFonts w:ascii="宋体" w:hAnsi="宋体" w:cs="宋体"/>
          <w:color w:val="000000"/>
          <w:spacing w:val="0"/>
          <w:sz w:val="21"/>
        </w:rPr>
        <w:t>日下午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color w:val="000000"/>
          <w:spacing w:val="-8"/>
          <w:sz w:val="21"/>
        </w:rPr>
        <w:t>11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25 </w:t>
      </w:r>
      <w:r>
        <w:rPr>
          <w:rFonts w:ascii="宋体" w:hAnsi="宋体" w:cs="宋体"/>
          <w:color w:val="000000"/>
          <w:spacing w:val="0"/>
          <w:sz w:val="21"/>
        </w:rPr>
        <w:t>日上午</w:t>
      </w:r>
      <w:r>
        <w:rPr>
          <w:rFonts w:ascii="Times New Roman"/>
          <w:color w:val="000000"/>
          <w:spacing w:val="7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color w:val="000000"/>
          <w:spacing w:val="-8"/>
          <w:sz w:val="21"/>
        </w:rPr>
        <w:t>11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25 </w:t>
      </w:r>
      <w:r>
        <w:rPr>
          <w:rFonts w:ascii="宋体" w:hAnsi="宋体" w:cs="宋体"/>
          <w:color w:val="000000"/>
          <w:spacing w:val="0"/>
          <w:sz w:val="21"/>
        </w:rPr>
        <w:t>日下午</w:t>
      </w:r>
    </w:p>
    <w:p w14:paraId="6F8A890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影像所在地能看到更多野生动物的时段是（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C11D7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2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4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5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6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7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8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9 </w:t>
      </w:r>
      <w:r>
        <w:rPr>
          <w:rFonts w:ascii="宋体" w:hAnsi="宋体" w:cs="宋体"/>
          <w:color w:val="000000"/>
          <w:spacing w:val="0"/>
          <w:sz w:val="21"/>
        </w:rPr>
        <w:t>月</w:t>
      </w:r>
    </w:p>
    <w:p w14:paraId="338FABF3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青藏高原黄河源区季节性冻土和多年冻土分布广泛，多年冻土由季节性融化的活动层和多年冻结的永</w:t>
      </w:r>
    </w:p>
    <w:p w14:paraId="4036015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冻层组成。随着气候变暖，黄河源区冻土退化。</w:t>
      </w:r>
      <w:r>
        <w:rPr>
          <w:rFonts w:ascii="Times New Roman"/>
          <w:color w:val="000000"/>
          <w:spacing w:val="0"/>
          <w:sz w:val="21"/>
        </w:rPr>
        <w:t>1987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2017 </w:t>
      </w:r>
      <w:r>
        <w:rPr>
          <w:rFonts w:ascii="楷体" w:hAnsi="楷体" w:cs="楷体"/>
          <w:color w:val="000000"/>
          <w:spacing w:val="0"/>
          <w:sz w:val="21"/>
        </w:rPr>
        <w:t>年，黄河源区某地的河道迁移率（单位时间河</w:t>
      </w:r>
    </w:p>
    <w:p w14:paraId="08155B5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6"/>
          <w:sz w:val="21"/>
        </w:rPr>
        <w:t>道迁移距离）在季节性冻土区降低、多年冻土区增加。下图为该地季节性冻土区、多年冻土区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1987</w:t>
      </w:r>
      <w:r>
        <w:rPr>
          <w:rFonts w:ascii="Times New Roman"/>
          <w:color w:val="000000"/>
          <w:spacing w:val="-1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年和</w:t>
      </w:r>
      <w:r>
        <w:rPr>
          <w:rFonts w:ascii="Times New Roman"/>
          <w:color w:val="000000"/>
          <w:spacing w:val="-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2017</w:t>
      </w:r>
    </w:p>
    <w:p w14:paraId="3A571F4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年土壤含冰量、河流流量年内变化。据此完成下面小题。</w:t>
      </w:r>
    </w:p>
    <w:p w14:paraId="7F689484">
      <w:pPr>
        <w:spacing w:before="230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79F387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074C4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CCD2C1C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C0FF2D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50ECBCE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67.3pt;height:138.6pt;width:317.1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218.85pt;margin-top:280.4pt;height:16.2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59.8pt;margin-top:341.95pt;height:8.75pt;width:4.2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47pt;margin-top:540.8pt;height:152.85pt;width:422.9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1987 </w:t>
      </w:r>
      <w:r>
        <w:rPr>
          <w:rFonts w:ascii="宋体" w:hAnsi="宋体" w:cs="宋体"/>
          <w:color w:val="000000"/>
          <w:spacing w:val="0"/>
          <w:sz w:val="21"/>
        </w:rPr>
        <w:t>年相比，</w:t>
      </w:r>
      <w:r>
        <w:rPr>
          <w:rFonts w:ascii="Times New Roman"/>
          <w:color w:val="000000"/>
          <w:spacing w:val="0"/>
          <w:sz w:val="21"/>
        </w:rPr>
        <w:t xml:space="preserve">2017 </w:t>
      </w:r>
      <w:r>
        <w:rPr>
          <w:rFonts w:ascii="宋体" w:hAnsi="宋体" w:cs="宋体"/>
          <w:color w:val="000000"/>
          <w:spacing w:val="0"/>
          <w:sz w:val="21"/>
        </w:rPr>
        <w:t>年该地（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B5FE8E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季节性冻土区土壤含冰量全年均减小</w:t>
      </w:r>
      <w:r>
        <w:rPr>
          <w:rFonts w:ascii="Times New Roman"/>
          <w:color w:val="000000"/>
          <w:spacing w:val="11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季节性冻土区土壤含冰量降幅在丰水期更大</w:t>
      </w:r>
    </w:p>
    <w:p w14:paraId="6BAA207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多年冻土区土壤含冰量降幅在枯水期更大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多年冻土区活动层冻结的时间提前</w:t>
      </w:r>
    </w:p>
    <w:p w14:paraId="238C592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该地多年冻土区河道迁移率增加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F2300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河流含沙量下降</w:t>
      </w:r>
      <w:r>
        <w:rPr>
          <w:rFonts w:ascii="Times New Roman"/>
          <w:color w:val="000000"/>
          <w:spacing w:val="3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河岸抗蚀能力减弱</w:t>
      </w:r>
    </w:p>
    <w:p w14:paraId="38926E62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河床高度降低</w:t>
      </w:r>
      <w:r>
        <w:rPr>
          <w:rFonts w:ascii="Times New Roman"/>
          <w:color w:val="000000"/>
          <w:spacing w:val="32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流量季节变化减小</w:t>
      </w:r>
    </w:p>
    <w:p w14:paraId="4518A60D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该地冻土区河道迁移率变化导致（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30743F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季节性冻土区河流流量减小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季节性冻土区河流裁弯取直频率增大</w:t>
      </w:r>
    </w:p>
    <w:p w14:paraId="5FF1C39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多年冻土区河流流量增加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多年冻土区河流裁弯取直频率增大</w:t>
      </w:r>
    </w:p>
    <w:p w14:paraId="3C9CBEFC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085B588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阅读材料，完成下列问题。</w:t>
      </w:r>
    </w:p>
    <w:p w14:paraId="3F0B9A9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内蒙古东部牧区地处农牧交错带。近年来，当地出现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牲畜跨区转场越冬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6"/>
          <w:sz w:val="21"/>
        </w:rPr>
        <w:t>现象：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月中旬至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-8"/>
          <w:sz w:val="21"/>
        </w:rPr>
        <w:t>11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月中</w:t>
      </w:r>
    </w:p>
    <w:p w14:paraId="35D0F3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旬，牧民将牲畜运输到数百千米外的大兴安岭以东农区，利用农田秸秆和杂草越冬，次年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月末至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楷体" w:hAnsi="楷体" w:cs="楷体"/>
          <w:color w:val="000000"/>
          <w:spacing w:val="0"/>
          <w:sz w:val="21"/>
        </w:rPr>
        <w:t>月中</w:t>
      </w:r>
    </w:p>
    <w:p w14:paraId="23812AA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旬返回。下表为</w:t>
      </w:r>
      <w:r>
        <w:rPr>
          <w:rFonts w:ascii="Times New Roman"/>
          <w:color w:val="000000"/>
          <w:spacing w:val="0"/>
          <w:sz w:val="21"/>
        </w:rPr>
        <w:t xml:space="preserve"> 2018 </w:t>
      </w:r>
      <w:r>
        <w:rPr>
          <w:rFonts w:ascii="楷体" w:hAnsi="楷体" w:cs="楷体"/>
          <w:color w:val="000000"/>
          <w:spacing w:val="0"/>
          <w:sz w:val="21"/>
        </w:rPr>
        <w:t>年内蒙古东部牧区不同越冬方式比较。</w:t>
      </w:r>
    </w:p>
    <w:p w14:paraId="4029B512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越冬方式</w:t>
      </w:r>
      <w:r>
        <w:rPr>
          <w:rFonts w:ascii="Times New Roman"/>
          <w:color w:val="000000"/>
          <w:spacing w:val="10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当地越冬</w:t>
      </w:r>
      <w:r>
        <w:rPr>
          <w:rFonts w:ascii="Times New Roman"/>
          <w:color w:val="000000"/>
          <w:spacing w:val="143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跨区转场越冬</w:t>
      </w:r>
    </w:p>
    <w:p w14:paraId="05ED4B05">
      <w:pPr>
        <w:spacing w:before="413" w:after="0" w:line="220" w:lineRule="exact"/>
        <w:ind w:left="19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内蒙古兴安盟科右前</w:t>
      </w:r>
    </w:p>
    <w:p w14:paraId="41602AEA">
      <w:pPr>
        <w:spacing w:before="1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越冬地</w:t>
      </w:r>
      <w:r>
        <w:rPr>
          <w:rFonts w:ascii="Times New Roman"/>
          <w:color w:val="000000"/>
          <w:spacing w:val="359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吉林白城市镇赉县</w:t>
      </w:r>
    </w:p>
    <w:p w14:paraId="4F966DC3">
      <w:pPr>
        <w:spacing w:before="14" w:after="0" w:line="220" w:lineRule="exact"/>
        <w:ind w:left="19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旗</w:t>
      </w:r>
    </w:p>
    <w:p w14:paraId="06996F44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成本构成</w:t>
      </w:r>
      <w:r>
        <w:rPr>
          <w:rFonts w:ascii="Times New Roman"/>
          <w:color w:val="000000"/>
          <w:spacing w:val="10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草料、饲料</w:t>
      </w:r>
      <w:r>
        <w:rPr>
          <w:rFonts w:ascii="Times New Roman"/>
          <w:color w:val="000000"/>
          <w:spacing w:val="122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运输和装卸、农地使用、劳动力和生活等</w:t>
      </w:r>
    </w:p>
    <w:p w14:paraId="7F847859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成本（元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楷体" w:hAnsi="楷体" w:cs="楷体"/>
          <w:color w:val="000000"/>
          <w:spacing w:val="0"/>
          <w:sz w:val="21"/>
        </w:rPr>
        <w:t>羊单位）</w:t>
      </w:r>
      <w:r>
        <w:rPr>
          <w:rFonts w:ascii="Times New Roman"/>
          <w:color w:val="000000"/>
          <w:spacing w:val="15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240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>340</w:t>
      </w:r>
      <w:r>
        <w:rPr>
          <w:rFonts w:ascii="Times New Roman"/>
          <w:color w:val="000000"/>
          <w:spacing w:val="14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151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>167</w:t>
      </w:r>
    </w:p>
    <w:p w14:paraId="02614E20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）从气候角度，说明该区域出现“牲畜跨区转场越冬”现象的原因。</w:t>
      </w:r>
    </w:p>
    <w:p w14:paraId="6732BAF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）指出“牲畜跨区转场越冬”对农区的有利影响。</w:t>
      </w:r>
    </w:p>
    <w:p w14:paraId="59AB7022">
      <w:pPr>
        <w:spacing w:before="21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4335C2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FACB6A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85C84D0">
      <w:pPr>
        <w:pStyle w:val="6"/>
        <w:sectPr>
          <w:pgSz w:w="11900" w:h="16840"/>
          <w:pgMar w:top="425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C0D014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41F2FCF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47" o:spid="_x0000_s1047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53pt;margin-top:189.6pt;height:143.85pt;width:221.8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289.35pt;margin-top:390pt;height:16.25pt;width:12.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53pt;margin-top:525.8pt;height:173.1pt;width:214.3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368.15pt;margin-top:725.45pt;height:16.25pt;width:12.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阅读图文材料，完成下列问题。</w:t>
      </w:r>
    </w:p>
    <w:p w14:paraId="223D4FE8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 </w:t>
      </w:r>
      <w:r>
        <w:rPr>
          <w:rFonts w:ascii="楷体" w:hAnsi="楷体" w:cs="楷体"/>
          <w:color w:val="000000"/>
          <w:spacing w:val="0"/>
          <w:sz w:val="21"/>
        </w:rPr>
        <w:t>月为我国台湾岛东部沿海地区水稻抽穗开花期。</w:t>
      </w:r>
      <w:r>
        <w:rPr>
          <w:rFonts w:ascii="Times New Roman"/>
          <w:color w:val="000000"/>
          <w:spacing w:val="0"/>
          <w:sz w:val="21"/>
        </w:rPr>
        <w:t xml:space="preserve">2007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15 </w:t>
      </w:r>
      <w:r>
        <w:rPr>
          <w:rFonts w:ascii="楷体" w:hAnsi="楷体" w:cs="楷体"/>
          <w:color w:val="000000"/>
          <w:spacing w:val="0"/>
          <w:sz w:val="21"/>
        </w:rPr>
        <w:t>时</w:t>
      </w:r>
      <w:r>
        <w:rPr>
          <w:rFonts w:ascii="Times New Roman"/>
          <w:color w:val="000000"/>
          <w:spacing w:val="0"/>
          <w:sz w:val="21"/>
        </w:rPr>
        <w:t xml:space="preserve"> 30 </w:t>
      </w:r>
      <w:r>
        <w:rPr>
          <w:rFonts w:ascii="楷体" w:hAnsi="楷体" w:cs="楷体"/>
          <w:color w:val="000000"/>
          <w:spacing w:val="0"/>
          <w:sz w:val="21"/>
        </w:rPr>
        <w:t>分，台风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罗莎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登陆</w:t>
      </w:r>
    </w:p>
    <w:p w14:paraId="579F5B1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台湾岛，七级风圈半径约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430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千米。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时，中央山以东的东部沿海局地气温升至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36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楷体" w:hAnsi="楷体" w:cs="楷体"/>
          <w:color w:val="000000"/>
          <w:spacing w:val="-1"/>
          <w:sz w:val="21"/>
        </w:rPr>
        <w:t>以上，湿度下降；</w:t>
      </w:r>
    </w:p>
    <w:p w14:paraId="1DC267F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16 </w:t>
      </w:r>
      <w:r>
        <w:rPr>
          <w:rFonts w:ascii="楷体" w:hAnsi="楷体" w:cs="楷体"/>
          <w:color w:val="000000"/>
          <w:spacing w:val="0"/>
          <w:sz w:val="21"/>
        </w:rPr>
        <w:t>时，气温升至</w:t>
      </w:r>
      <w:r>
        <w:rPr>
          <w:rFonts w:ascii="Times New Roman"/>
          <w:color w:val="000000"/>
          <w:spacing w:val="0"/>
          <w:sz w:val="21"/>
        </w:rPr>
        <w:t xml:space="preserve"> 39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楷体" w:hAnsi="楷体" w:cs="楷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0"/>
          <w:sz w:val="21"/>
        </w:rPr>
        <w:t xml:space="preserve">18 </w:t>
      </w:r>
      <w:r>
        <w:rPr>
          <w:rFonts w:ascii="楷体" w:hAnsi="楷体" w:cs="楷体"/>
          <w:color w:val="000000"/>
          <w:spacing w:val="0"/>
          <w:sz w:val="21"/>
        </w:rPr>
        <w:t>时，仍高达</w:t>
      </w:r>
      <w:r>
        <w:rPr>
          <w:rFonts w:ascii="Times New Roman"/>
          <w:color w:val="000000"/>
          <w:spacing w:val="0"/>
          <w:sz w:val="21"/>
        </w:rPr>
        <w:t xml:space="preserve"> 35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楷体" w:hAnsi="楷体" w:cs="楷体"/>
          <w:color w:val="000000"/>
          <w:spacing w:val="0"/>
          <w:sz w:val="21"/>
        </w:rPr>
        <w:t>。同期，台湾岛西部沿海大部分地区气温稳定在</w:t>
      </w:r>
      <w:r>
        <w:rPr>
          <w:rFonts w:ascii="Times New Roman"/>
          <w:color w:val="000000"/>
          <w:spacing w:val="0"/>
          <w:sz w:val="21"/>
        </w:rPr>
        <w:t xml:space="preserve"> 24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>26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楷体" w:hAnsi="楷体" w:cs="楷体"/>
          <w:color w:val="000000"/>
          <w:spacing w:val="0"/>
          <w:sz w:val="21"/>
        </w:rPr>
        <w:t>。下</w:t>
      </w:r>
    </w:p>
    <w:p w14:paraId="7804F17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图示意台湾岛地形和该台风的移动路径。</w:t>
      </w:r>
    </w:p>
    <w:p w14:paraId="371D28B4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）估算台东距</w:t>
      </w:r>
      <w:r>
        <w:rPr>
          <w:rFonts w:ascii="Times New Roman"/>
          <w:color w:val="000000"/>
          <w:spacing w:val="0"/>
          <w:sz w:val="21"/>
        </w:rPr>
        <w:t xml:space="preserve"> 2007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16 </w:t>
      </w:r>
      <w:r>
        <w:rPr>
          <w:rFonts w:ascii="宋体" w:hAnsi="宋体" w:cs="宋体"/>
          <w:color w:val="000000"/>
          <w:spacing w:val="0"/>
          <w:sz w:val="21"/>
        </w:rPr>
        <w:t>时台风中心的距离，并判断台东的风向。</w:t>
      </w:r>
    </w:p>
    <w:p w14:paraId="20C4E07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）从地形角度，分析此次台风造成台湾岛东部沿海地区高温低湿现象的成因。</w:t>
      </w:r>
    </w:p>
    <w:p w14:paraId="61C6F38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）说明此次台风对台湾岛东部沿海地区水稻产量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影响及原因。</w:t>
      </w:r>
    </w:p>
    <w:p w14:paraId="22CC50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阅读图文材料，完成下列问题。</w:t>
      </w:r>
    </w:p>
    <w:p w14:paraId="23C7BEA3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澜沧江发源于我国青藏高原，出境后称湄公河。湄公河是东南亚最长的河流，流经柬埔寨和越南所在</w:t>
      </w:r>
    </w:p>
    <w:p w14:paraId="2B2999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的三角洲后注入南海。湄公河河口附近地区地势低平，河湖众多，盛产水稻、热带水果等，人口稠密。经</w:t>
      </w:r>
    </w:p>
    <w:p w14:paraId="1202733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过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世纪末以来的大规模开发，人工河渠发达、农田成倍增长，海岸、河堤侵蚀严重。图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示意湄公河河</w:t>
      </w:r>
    </w:p>
    <w:p w14:paraId="04FB8A0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口附近地区水系，图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示意</w:t>
      </w:r>
      <w:r>
        <w:rPr>
          <w:rFonts w:ascii="Times New Roman"/>
          <w:color w:val="000000"/>
          <w:spacing w:val="0"/>
          <w:sz w:val="21"/>
        </w:rPr>
        <w:t xml:space="preserve"> 1998</w:t>
      </w:r>
      <w:r>
        <w:rPr>
          <w:rFonts w:ascii="楷体" w:hAnsi="楷体" w:cs="楷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2008 </w:t>
      </w:r>
      <w:r>
        <w:rPr>
          <w:rFonts w:ascii="楷体" w:hAnsi="楷体" w:cs="楷体"/>
          <w:color w:val="000000"/>
          <w:spacing w:val="0"/>
          <w:sz w:val="21"/>
        </w:rPr>
        <w:t>年乙地河床的侵蚀、堆积状况。</w:t>
      </w:r>
    </w:p>
    <w:p w14:paraId="0F17DB68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）指出影响湄公河河口年、月、日等泥沙沉积周期的主要因素。</w:t>
      </w:r>
    </w:p>
    <w:p w14:paraId="1119953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）说明</w:t>
      </w:r>
      <w:r>
        <w:rPr>
          <w:rFonts w:ascii="Times New Roman"/>
          <w:color w:val="000000"/>
          <w:spacing w:val="0"/>
          <w:sz w:val="21"/>
        </w:rPr>
        <w:t xml:space="preserve"> 1998</w:t>
      </w:r>
      <w:r>
        <w:rPr>
          <w:rFonts w:ascii="宋体" w:hAnsi="宋体" w:cs="宋体"/>
          <w:color w:val="000000"/>
          <w:spacing w:val="0"/>
          <w:sz w:val="21"/>
        </w:rPr>
        <w:t>～</w:t>
      </w:r>
      <w:r>
        <w:rPr>
          <w:rFonts w:ascii="Times New Roman"/>
          <w:color w:val="000000"/>
          <w:spacing w:val="0"/>
          <w:sz w:val="21"/>
        </w:rPr>
        <w:t xml:space="preserve">2008 </w:t>
      </w:r>
      <w:r>
        <w:rPr>
          <w:rFonts w:ascii="宋体" w:hAnsi="宋体" w:cs="宋体"/>
          <w:color w:val="000000"/>
          <w:spacing w:val="0"/>
          <w:sz w:val="21"/>
        </w:rPr>
        <w:t>年乙地泥沙沉积厚度从河床到最高洪水位之间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差异。</w:t>
      </w:r>
    </w:p>
    <w:p w14:paraId="21046F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）分析极端旱涝对该三角洲泥沙沉积的影响。</w:t>
      </w:r>
    </w:p>
    <w:p w14:paraId="63726417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B5BA4F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4FF6DB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38B2EA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4" o:spid="_x0000_s1054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）若从甲地向丙地开挖出海运河，推测该运河内沉积泥沙的来源。</w:t>
      </w:r>
    </w:p>
    <w:p w14:paraId="62BAE31A">
      <w:pPr>
        <w:spacing w:before="1368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2D74748-C498-4CB4-BD0B-1E0916714881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3D2B02C-D695-4107-B844-4C7036FAD47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283FC83-31F6-4281-88FA-CBC5F05E36F6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84179E72-E40B-4A39-981D-030DDC8A9D1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082B937F-F974-4A4A-BDED-F21CA14DEEA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A7D15D8B-EB21-40A7-B724-40C0CC4EC5D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1EEF0766-FF52-442C-8110-E6BE8A7F139A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016E9F79-7940-466A-817F-2C5E6F08F703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9" w:fontKey="{7273F6D9-7D38-4F9A-85A5-0F62F4D3A75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90D20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64D62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EFEA21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AEEC4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E8FAF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D0F79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525612B5"/>
    <w:rsid w:val="5D8B66A7"/>
    <w:rsid w:val="5E1D4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12</Pages>
  <Words>2559</Words>
  <Characters>2782</Characters>
  <Lines>0</Lines>
  <Paragraphs>100</Paragraphs>
  <TotalTime>3</TotalTime>
  <ScaleCrop>false</ScaleCrop>
  <LinksUpToDate>false</LinksUpToDate>
  <CharactersWithSpaces>3046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2025-07-17T01:58:00Z</dcterms:created>
  <dc:creator>xiaoqiao</dc:creator>
  <cp:lastModifiedBy>上帝掷骰子吗</cp:lastModifiedBy>
  <dcterms:modified xsi:type="dcterms:W3CDTF">2026-02-10T06:55:50Z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980B076FA0F94004A6BFFAC5BBB965A5_12</vt:lpwstr>
  </property>
</Properties>
</file>