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26FACC3">
      <w:pPr>
        <w:spacing w:before="0" w:after="0" w:line="359" w:lineRule="exact"/>
        <w:ind w:left="1633" w:right="0" w:firstLine="0"/>
        <w:jc w:val="left"/>
        <w:rPr>
          <w:rFonts w:ascii="Times New Roman"/>
          <w:color w:val="000000"/>
          <w:spacing w:val="0"/>
          <w:sz w:val="32"/>
        </w:rPr>
      </w:pPr>
      <w:r>
        <w:pict>
          <v:shape id="_x0000_s1025" o:spid="_x0000_s1025" o:spt="75" type="#_x0000_t75" style="position:absolute;left:0pt;margin-left:404.15pt;margin-top:72.55pt;height:2.75pt;width:2.75pt;mso-position-horizontal-relative:page;mso-position-vertical-relative:page;z-index:-25162854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bookmarkStart w:id="0" w:name="br1"/>
      <w:bookmarkEnd w:id="0"/>
      <w:r>
        <w:pict>
          <v:shape id="_x0000_s1026" o:spid="_x0000_s1026" o:spt="75" type="#_x0000_t75" style="position:absolute;left:0pt;margin-left:212.1pt;margin-top:473.3pt;height:5.75pt;width:5pt;mso-position-horizontal-relative:page;mso-position-vertical-relative:page;z-index:-25162956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27" o:spid="_x0000_s1027" o:spt="75" type="#_x0000_t75" style="position:absolute;left:0pt;margin-left:116.8pt;margin-top:769.7pt;height:2.75pt;width:2.75pt;mso-position-horizontal-relative:page;mso-position-vertical-relative:page;z-index:-25163059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60.55pt;margin-top:351.7pt;height:8.75pt;width:4.25pt;mso-position-horizontal-relative:page;mso-position-vertical-relative:page;z-index:-251631616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60.55pt;margin-top:711.15pt;height:8.75pt;width:4.25pt;mso-position-horizontal-relative:page;mso-position-vertical-relative:page;z-index:-251632640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年重庆市普通高等学校招生全国统一考试</w:t>
      </w:r>
    </w:p>
    <w:p w14:paraId="790EEFAC">
      <w:pPr>
        <w:spacing w:before="275" w:after="0" w:line="325" w:lineRule="exact"/>
        <w:ind w:left="4234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0"/>
          <w:sz w:val="32"/>
        </w:rPr>
        <w:t>地理试题</w:t>
      </w:r>
    </w:p>
    <w:p w14:paraId="641CB0EF">
      <w:pPr>
        <w:spacing w:before="21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注意事项：</w:t>
      </w:r>
    </w:p>
    <w:p w14:paraId="1272FF41">
      <w:pPr>
        <w:spacing w:before="114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1</w:t>
      </w:r>
      <w:r>
        <w:rPr>
          <w:rFonts w:ascii="宋体" w:hAnsi="宋体" w:cs="宋体"/>
          <w:color w:val="000000"/>
          <w:spacing w:val="1"/>
          <w:sz w:val="24"/>
        </w:rPr>
        <w:t>．作答前，考生务必将自己的姓名、考场号、座位号填写在试卷的规定位置上。</w:t>
      </w:r>
    </w:p>
    <w:p w14:paraId="3ED07877">
      <w:pPr>
        <w:spacing w:before="96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2</w:t>
      </w:r>
      <w:r>
        <w:rPr>
          <w:rFonts w:ascii="宋体" w:hAnsi="宋体" w:cs="宋体"/>
          <w:color w:val="000000"/>
          <w:spacing w:val="1"/>
          <w:sz w:val="24"/>
        </w:rPr>
        <w:t>．作答时，务必将答案写在答题卡上，写在试卷及草稿纸上无效。</w:t>
      </w:r>
    </w:p>
    <w:p w14:paraId="0EFE10BE">
      <w:pPr>
        <w:spacing w:before="96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3</w:t>
      </w:r>
      <w:r>
        <w:rPr>
          <w:rFonts w:ascii="宋体" w:hAnsi="宋体" w:cs="宋体"/>
          <w:color w:val="000000"/>
          <w:spacing w:val="1"/>
          <w:sz w:val="24"/>
        </w:rPr>
        <w:t>．考试结束后，须将答题卡、试卷、草稿纸一并交回。</w:t>
      </w:r>
    </w:p>
    <w:p w14:paraId="28072096">
      <w:pPr>
        <w:spacing w:before="96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一、选择题：本题共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15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45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分。在每小题给出的四个选项中，只有一</w:t>
      </w:r>
    </w:p>
    <w:p w14:paraId="0FFC244C">
      <w:pPr>
        <w:spacing w:before="103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项是符合题目要求的。</w:t>
      </w:r>
    </w:p>
    <w:p w14:paraId="6DC408A6">
      <w:pPr>
        <w:spacing w:before="179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目前，中国与欧盟互为重要的贸易伙伴，货物运输频繁。</w:t>
      </w:r>
      <w:r>
        <w:rPr>
          <w:rFonts w:ascii="Times New Roman"/>
          <w:color w:val="000000"/>
          <w:spacing w:val="0"/>
          <w:sz w:val="21"/>
        </w:rPr>
        <w:t xml:space="preserve">2024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0"/>
          <w:sz w:val="21"/>
        </w:rPr>
        <w:t xml:space="preserve"> 12 </w:t>
      </w:r>
      <w:r>
        <w:rPr>
          <w:rFonts w:ascii="楷体" w:hAnsi="楷体" w:cs="楷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0"/>
          <w:sz w:val="21"/>
        </w:rPr>
        <w:t xml:space="preserve"> 30 </w:t>
      </w:r>
      <w:r>
        <w:rPr>
          <w:rFonts w:ascii="楷体" w:hAnsi="楷体" w:cs="楷体"/>
          <w:color w:val="000000"/>
          <w:spacing w:val="0"/>
          <w:sz w:val="21"/>
        </w:rPr>
        <w:t>日，满载货物的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嘉华宁波</w:t>
      </w:r>
      <w:r>
        <w:rPr>
          <w:rFonts w:ascii="宋体" w:hAnsi="宋体" w:cs="宋体"/>
          <w:color w:val="000000"/>
          <w:spacing w:val="0"/>
          <w:sz w:val="21"/>
        </w:rPr>
        <w:t>”</w:t>
      </w:r>
    </w:p>
    <w:p w14:paraId="2CD1955D">
      <w:pPr>
        <w:spacing w:before="23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号从宁波舟山港起航，点对点直航德国威廉港标志着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中欧快航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航线正式开通。该航线的开通降低了运</w:t>
      </w:r>
    </w:p>
    <w:p w14:paraId="7EC35BB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输成本，提高了运输效率。据此完成下面小题。</w:t>
      </w:r>
    </w:p>
    <w:p w14:paraId="27EC4E5E">
      <w:pPr>
        <w:spacing w:before="24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开通“中欧快航”航线主要是因为（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977DCDD">
      <w:pPr>
        <w:spacing w:before="22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通航条件好</w:t>
      </w:r>
      <w:r>
        <w:rPr>
          <w:rFonts w:ascii="Times New Roman"/>
          <w:color w:val="000000"/>
          <w:spacing w:val="102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运输需求增加</w:t>
      </w:r>
      <w:r>
        <w:rPr>
          <w:rFonts w:ascii="Times New Roman"/>
          <w:color w:val="000000"/>
          <w:spacing w:val="82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运输风险低</w:t>
      </w:r>
      <w:r>
        <w:rPr>
          <w:rFonts w:ascii="Times New Roman"/>
          <w:color w:val="000000"/>
          <w:spacing w:val="103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航运技术先进</w:t>
      </w:r>
    </w:p>
    <w:p w14:paraId="63FC9767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2. </w:t>
      </w:r>
      <w:r>
        <w:rPr>
          <w:rFonts w:ascii="宋体" w:hAnsi="宋体" w:cs="宋体"/>
          <w:color w:val="000000"/>
          <w:spacing w:val="0"/>
          <w:sz w:val="21"/>
        </w:rPr>
        <w:t>“中欧快航”能够提高运输效率的主要原因是（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E35CEBF">
      <w:pPr>
        <w:spacing w:before="22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货物种类多</w:t>
      </w:r>
      <w:r>
        <w:rPr>
          <w:rFonts w:ascii="Times New Roman"/>
          <w:color w:val="000000"/>
          <w:spacing w:val="102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劳动成本低</w:t>
      </w:r>
      <w:r>
        <w:rPr>
          <w:rFonts w:ascii="Times New Roman"/>
          <w:color w:val="000000"/>
          <w:spacing w:val="103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运输距离短</w:t>
      </w:r>
      <w:r>
        <w:rPr>
          <w:rFonts w:ascii="Times New Roman"/>
          <w:color w:val="000000"/>
          <w:spacing w:val="103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中转环节少</w:t>
      </w:r>
    </w:p>
    <w:p w14:paraId="4386649F"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2024 </w:t>
      </w:r>
      <w:r>
        <w:rPr>
          <w:rFonts w:ascii="楷体" w:hAnsi="楷体" w:cs="楷体"/>
          <w:color w:val="000000"/>
          <w:spacing w:val="0"/>
          <w:sz w:val="21"/>
        </w:rPr>
        <w:t>年，我国完成了第三次土壤普查的野外采样工作。普查发现，河北省南部到东部地区广泛分布某</w:t>
      </w:r>
    </w:p>
    <w:p w14:paraId="45B80C55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种厚层土壤。该土壤分层明显，保水保肥，通气性好，被当地人称为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蒙金土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。据此完成下面小题。</w:t>
      </w:r>
    </w:p>
    <w:p w14:paraId="2CF0D9E9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3. </w:t>
      </w:r>
      <w:r>
        <w:rPr>
          <w:rFonts w:ascii="宋体" w:hAnsi="宋体" w:cs="宋体"/>
          <w:color w:val="000000"/>
          <w:spacing w:val="0"/>
          <w:sz w:val="21"/>
        </w:rPr>
        <w:t>“蒙金土”成土母质的形成主要缘于（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770646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海岸淤积</w:t>
      </w:r>
      <w:r>
        <w:rPr>
          <w:rFonts w:ascii="Times New Roman"/>
          <w:color w:val="000000"/>
          <w:spacing w:val="123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黄土沉降</w:t>
      </w:r>
      <w:r>
        <w:rPr>
          <w:rFonts w:ascii="Times New Roman"/>
          <w:color w:val="000000"/>
          <w:spacing w:val="124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河流泛滥</w:t>
      </w:r>
      <w:r>
        <w:rPr>
          <w:rFonts w:ascii="Times New Roman"/>
          <w:color w:val="000000"/>
          <w:spacing w:val="124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基岩风化</w:t>
      </w:r>
    </w:p>
    <w:p w14:paraId="0AE0E2E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4. </w:t>
      </w:r>
      <w:r>
        <w:rPr>
          <w:rFonts w:ascii="宋体" w:hAnsi="宋体" w:cs="宋体"/>
          <w:color w:val="000000"/>
          <w:spacing w:val="0"/>
          <w:sz w:val="21"/>
        </w:rPr>
        <w:t>“蒙金土”的质地为（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ED16BB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上砂下黏</w:t>
      </w:r>
      <w:r>
        <w:rPr>
          <w:rFonts w:ascii="Times New Roman"/>
          <w:color w:val="000000"/>
          <w:spacing w:val="123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上黏下砂</w:t>
      </w:r>
      <w:r>
        <w:rPr>
          <w:rFonts w:ascii="Times New Roman"/>
          <w:color w:val="000000"/>
          <w:spacing w:val="124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上下均砂</w:t>
      </w:r>
      <w:r>
        <w:rPr>
          <w:rFonts w:ascii="Times New Roman"/>
          <w:color w:val="000000"/>
          <w:spacing w:val="124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上下均黏</w:t>
      </w:r>
    </w:p>
    <w:p w14:paraId="29EC6F0A"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20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世纪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90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年代，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波兰煤都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卡托维兹市的煤炭和钢铁工业走向衰落。</w:t>
      </w:r>
      <w:r>
        <w:rPr>
          <w:rFonts w:ascii="Times New Roman"/>
          <w:color w:val="000000"/>
          <w:spacing w:val="0"/>
          <w:sz w:val="21"/>
        </w:rPr>
        <w:t>2008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楷体" w:hAnsi="楷体" w:cs="楷体"/>
          <w:color w:val="000000"/>
          <w:spacing w:val="-1"/>
          <w:sz w:val="21"/>
        </w:rPr>
        <w:t>年，该市开始以音乐文化</w:t>
      </w:r>
    </w:p>
    <w:p w14:paraId="2B3757C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1"/>
          <w:sz w:val="21"/>
        </w:rPr>
        <w:t>产业作为经济转型重点，每年举办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20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楷体" w:hAnsi="楷体" w:cs="楷体"/>
          <w:color w:val="000000"/>
          <w:spacing w:val="-2"/>
          <w:sz w:val="21"/>
        </w:rPr>
        <w:t>多个音乐节，但成效有限。</w:t>
      </w:r>
      <w:r>
        <w:rPr>
          <w:rFonts w:ascii="Times New Roman"/>
          <w:color w:val="000000"/>
          <w:spacing w:val="0"/>
          <w:sz w:val="21"/>
        </w:rPr>
        <w:t>2013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楷体" w:hAnsi="楷体" w:cs="楷体"/>
          <w:color w:val="000000"/>
          <w:spacing w:val="-1"/>
          <w:sz w:val="21"/>
        </w:rPr>
        <w:t>年起，该市以举办世界顶级电竞大赛</w:t>
      </w:r>
    </w:p>
    <w:p w14:paraId="1BAB30E9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为契机，围绕节目制作、赛事组织、网络直播等大力发展电竞产业，现已成为欧洲电竞中心。如今，该市</w:t>
      </w:r>
    </w:p>
    <w:p w14:paraId="71BFFA6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正利用音乐文化人才优势，推动电竞音乐创作本土化，促进音乐文化产业和电竞产业的融合发展。据此完</w:t>
      </w:r>
    </w:p>
    <w:p w14:paraId="57E036F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成下面小题。</w:t>
      </w:r>
    </w:p>
    <w:p w14:paraId="6671A0A5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该市产业转型可利用煤炭和钢铁工业时期的（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559E348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自然资源</w:t>
      </w:r>
      <w:r>
        <w:rPr>
          <w:rFonts w:ascii="Times New Roman"/>
          <w:color w:val="000000"/>
          <w:spacing w:val="123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技术基础</w:t>
      </w:r>
      <w:r>
        <w:rPr>
          <w:rFonts w:ascii="Times New Roman"/>
          <w:color w:val="000000"/>
          <w:spacing w:val="124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交通条件</w:t>
      </w:r>
      <w:r>
        <w:rPr>
          <w:rFonts w:ascii="Times New Roman"/>
          <w:color w:val="000000"/>
          <w:spacing w:val="124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市场范围</w:t>
      </w:r>
    </w:p>
    <w:p w14:paraId="48CD380E">
      <w:pPr>
        <w:spacing w:before="38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下列产业融合中，与该市产业融合方式最相近的是（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2FD42E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农机制造与粮食种植</w:t>
      </w:r>
      <w:r>
        <w:rPr>
          <w:rFonts w:ascii="Times New Roman"/>
          <w:color w:val="000000"/>
          <w:spacing w:val="262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生态农业与观光旅游</w:t>
      </w:r>
    </w:p>
    <w:p w14:paraId="52181B70">
      <w:pPr>
        <w:spacing w:before="6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1707ED6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758D27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5D66798">
      <w:pPr>
        <w:pStyle w:val="6"/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900" w:h="16840"/>
          <w:pgMar w:top="146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6ACAC8D1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6D1F59C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30" o:spid="_x0000_s1030" o:spt="75" type="#_x0000_t75" style="position:absolute;left:0pt;margin-left:404.15pt;margin-top:72.55pt;height:2.75pt;width:2.75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31" o:spid="_x0000_s1031" o:spt="75" type="#_x0000_t75" style="position:absolute;left:0pt;margin-left:212.1pt;margin-top:473.3pt;height:5.75pt;width:5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2" o:spid="_x0000_s1032" o:spt="75" type="#_x0000_t75" style="position:absolute;left:0pt;margin-left:116.8pt;margin-top:769.7pt;height:2.75pt;width:2.75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3" o:spid="_x0000_s1033" o:spt="75" type="#_x0000_t75" style="position:absolute;left:0pt;margin-left:53pt;margin-top:166.35pt;height:236.9pt;width:236.1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钢铁冶炼与汽车制造</w:t>
      </w:r>
      <w:r>
        <w:rPr>
          <w:rFonts w:ascii="Times New Roman"/>
          <w:color w:val="000000"/>
          <w:spacing w:val="263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软件开发与电子商务</w:t>
      </w:r>
    </w:p>
    <w:p w14:paraId="08EEE8E5"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龙游县位于浙江省西部，海拔</w:t>
      </w:r>
      <w:r>
        <w:rPr>
          <w:rFonts w:ascii="Times New Roman"/>
          <w:color w:val="000000"/>
          <w:spacing w:val="0"/>
          <w:sz w:val="21"/>
        </w:rPr>
        <w:t xml:space="preserve"> 35~1442 </w:t>
      </w:r>
      <w:r>
        <w:rPr>
          <w:rFonts w:ascii="楷体" w:hAnsi="楷体" w:cs="楷体"/>
          <w:color w:val="000000"/>
          <w:spacing w:val="0"/>
          <w:sz w:val="21"/>
        </w:rPr>
        <w:t>米，地形复杂多样，衢江自西向东流经县城。近年来，该县城</w:t>
      </w:r>
    </w:p>
    <w:p w14:paraId="31CF0C2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镇化水平不断提高。某科研小组收集了该县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15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个气象站（点）的气温资料，在地貌分区图上叠绘了该县多</w:t>
      </w:r>
    </w:p>
    <w:p w14:paraId="777B9686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5"/>
          <w:sz w:val="21"/>
        </w:rPr>
        <w:t>年平均气温等值线（如图）。据此完成下面小题。</w:t>
      </w:r>
    </w:p>
    <w:p w14:paraId="43C91FAE">
      <w:pPr>
        <w:spacing w:before="523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图中等温线数值关系是（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FC3E70D">
      <w:pPr>
        <w:spacing w:before="212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T</w:t>
      </w:r>
      <w:r>
        <w:rPr>
          <w:rFonts w:ascii="Times New Roman"/>
          <w:color w:val="000000"/>
          <w:spacing w:val="-2"/>
          <w:sz w:val="21"/>
          <w:vertAlign w:val="subscript"/>
        </w:rPr>
        <w:t>1</w:t>
      </w:r>
      <w:r>
        <w:rPr>
          <w:rFonts w:ascii="Times New Roman"/>
          <w:color w:val="000000"/>
          <w:spacing w:val="0"/>
          <w:sz w:val="21"/>
        </w:rPr>
        <w:t>&gt;T</w:t>
      </w:r>
      <w:r>
        <w:rPr>
          <w:rFonts w:ascii="Times New Roman"/>
          <w:color w:val="000000"/>
          <w:spacing w:val="-2"/>
          <w:sz w:val="21"/>
          <w:vertAlign w:val="subscript"/>
        </w:rPr>
        <w:t>3</w:t>
      </w:r>
      <w:r>
        <w:rPr>
          <w:rFonts w:ascii="Times New Roman"/>
          <w:color w:val="000000"/>
          <w:spacing w:val="0"/>
          <w:sz w:val="21"/>
        </w:rPr>
        <w:t>&gt;T</w:t>
      </w:r>
      <w:r>
        <w:rPr>
          <w:rFonts w:ascii="Times New Roman"/>
          <w:color w:val="000000"/>
          <w:spacing w:val="0"/>
          <w:sz w:val="21"/>
          <w:vertAlign w:val="subscript"/>
        </w:rPr>
        <w:t>5</w:t>
      </w:r>
      <w:r>
        <w:rPr>
          <w:rFonts w:ascii="Times New Roman"/>
          <w:color w:val="000000"/>
          <w:spacing w:val="1299"/>
          <w:sz w:val="21"/>
          <w:vertAlign w:val="subscript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T</w:t>
      </w:r>
      <w:r>
        <w:rPr>
          <w:rFonts w:ascii="Times New Roman"/>
          <w:color w:val="000000"/>
          <w:spacing w:val="-2"/>
          <w:sz w:val="21"/>
          <w:vertAlign w:val="subscript"/>
        </w:rPr>
        <w:t>3</w:t>
      </w:r>
      <w:r>
        <w:rPr>
          <w:rFonts w:ascii="Times New Roman"/>
          <w:color w:val="000000"/>
          <w:spacing w:val="0"/>
          <w:sz w:val="21"/>
        </w:rPr>
        <w:t>&gt;T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且</w:t>
      </w:r>
      <w:r>
        <w:rPr>
          <w:rFonts w:ascii="Times New Roman"/>
          <w:color w:val="000000"/>
          <w:spacing w:val="0"/>
          <w:sz w:val="21"/>
        </w:rPr>
        <w:t xml:space="preserve"> T</w:t>
      </w:r>
      <w:r>
        <w:rPr>
          <w:rFonts w:ascii="Times New Roman"/>
          <w:color w:val="000000"/>
          <w:spacing w:val="-2"/>
          <w:sz w:val="21"/>
          <w:vertAlign w:val="subscript"/>
        </w:rPr>
        <w:t>3</w:t>
      </w:r>
      <w:r>
        <w:rPr>
          <w:rFonts w:ascii="Times New Roman"/>
          <w:color w:val="000000"/>
          <w:spacing w:val="0"/>
          <w:sz w:val="21"/>
        </w:rPr>
        <w:t>&gt;T</w:t>
      </w:r>
      <w:r>
        <w:rPr>
          <w:rFonts w:ascii="Times New Roman"/>
          <w:color w:val="000000"/>
          <w:spacing w:val="0"/>
          <w:sz w:val="21"/>
          <w:vertAlign w:val="subscript"/>
        </w:rPr>
        <w:t>5</w:t>
      </w:r>
      <w:r>
        <w:rPr>
          <w:rFonts w:ascii="Times New Roman"/>
          <w:color w:val="000000"/>
          <w:spacing w:val="800"/>
          <w:sz w:val="21"/>
          <w:vertAlign w:val="subscript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T</w:t>
      </w:r>
      <w:r>
        <w:rPr>
          <w:rFonts w:ascii="Times New Roman"/>
          <w:color w:val="000000"/>
          <w:spacing w:val="-2"/>
          <w:sz w:val="21"/>
          <w:vertAlign w:val="subscript"/>
        </w:rPr>
        <w:t>5</w:t>
      </w:r>
      <w:r>
        <w:rPr>
          <w:rFonts w:ascii="Times New Roman"/>
          <w:color w:val="000000"/>
          <w:spacing w:val="0"/>
          <w:sz w:val="21"/>
        </w:rPr>
        <w:t>&gt;T</w:t>
      </w:r>
      <w:r>
        <w:rPr>
          <w:rFonts w:ascii="Times New Roman"/>
          <w:color w:val="000000"/>
          <w:spacing w:val="-2"/>
          <w:sz w:val="21"/>
          <w:vertAlign w:val="subscript"/>
        </w:rPr>
        <w:t>3</w:t>
      </w:r>
      <w:r>
        <w:rPr>
          <w:rFonts w:ascii="Times New Roman"/>
          <w:color w:val="000000"/>
          <w:spacing w:val="0"/>
          <w:sz w:val="21"/>
        </w:rPr>
        <w:t>&gt;T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  <w:r>
        <w:rPr>
          <w:rFonts w:ascii="Times New Roman"/>
          <w:color w:val="000000"/>
          <w:spacing w:val="1311"/>
          <w:sz w:val="21"/>
          <w:vertAlign w:val="subscript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T</w:t>
      </w:r>
      <w:r>
        <w:rPr>
          <w:rFonts w:ascii="Times New Roman"/>
          <w:color w:val="000000"/>
          <w:spacing w:val="-2"/>
          <w:sz w:val="21"/>
          <w:vertAlign w:val="subscript"/>
        </w:rPr>
        <w:t>3</w:t>
      </w:r>
      <w:r>
        <w:rPr>
          <w:rFonts w:ascii="Times New Roman"/>
          <w:color w:val="000000"/>
          <w:spacing w:val="0"/>
          <w:sz w:val="21"/>
        </w:rPr>
        <w:t>&lt;T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且</w:t>
      </w:r>
      <w:r>
        <w:rPr>
          <w:rFonts w:ascii="Times New Roman"/>
          <w:color w:val="000000"/>
          <w:spacing w:val="0"/>
          <w:sz w:val="21"/>
        </w:rPr>
        <w:t xml:space="preserve"> T</w:t>
      </w:r>
      <w:r>
        <w:rPr>
          <w:rFonts w:ascii="Times New Roman"/>
          <w:color w:val="000000"/>
          <w:spacing w:val="-2"/>
          <w:sz w:val="21"/>
          <w:vertAlign w:val="subscript"/>
        </w:rPr>
        <w:t>3</w:t>
      </w:r>
      <w:r>
        <w:rPr>
          <w:rFonts w:ascii="Times New Roman"/>
          <w:color w:val="000000"/>
          <w:spacing w:val="0"/>
          <w:sz w:val="21"/>
        </w:rPr>
        <w:t>&lt;T</w:t>
      </w:r>
      <w:r>
        <w:rPr>
          <w:rFonts w:ascii="Times New Roman"/>
          <w:color w:val="000000"/>
          <w:spacing w:val="0"/>
          <w:sz w:val="21"/>
          <w:vertAlign w:val="subscript"/>
        </w:rPr>
        <w:t>5</w:t>
      </w:r>
    </w:p>
    <w:p w14:paraId="72D92605">
      <w:pPr>
        <w:spacing w:before="21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近年来，该区域内人口迁移方向最可能是（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71D57F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甲→丙</w:t>
      </w:r>
      <w:r>
        <w:rPr>
          <w:rFonts w:ascii="Times New Roman"/>
          <w:color w:val="000000"/>
          <w:spacing w:val="144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乙→丙</w:t>
      </w:r>
      <w:r>
        <w:rPr>
          <w:rFonts w:ascii="Times New Roman"/>
          <w:color w:val="000000"/>
          <w:spacing w:val="14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丙→丁</w:t>
      </w:r>
      <w:r>
        <w:rPr>
          <w:rFonts w:ascii="Times New Roman"/>
          <w:color w:val="000000"/>
          <w:spacing w:val="145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丙→甲</w:t>
      </w:r>
    </w:p>
    <w:p w14:paraId="4125F687"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1"/>
          <w:sz w:val="21"/>
        </w:rPr>
        <w:t>气象条件是影响大气污染的重要因素之一，</w:t>
      </w:r>
      <w:r>
        <w:rPr>
          <w:rFonts w:ascii="Times New Roman"/>
          <w:color w:val="000000"/>
          <w:spacing w:val="0"/>
          <w:sz w:val="21"/>
        </w:rPr>
        <w:t>2020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12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color w:val="000000"/>
          <w:spacing w:val="-2"/>
          <w:sz w:val="21"/>
        </w:rPr>
        <w:t>11~13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楷体" w:hAnsi="楷体" w:cs="楷体"/>
          <w:color w:val="000000"/>
          <w:spacing w:val="-1"/>
          <w:sz w:val="21"/>
        </w:rPr>
        <w:t>日，长三角及周边地区发生一次空气污</w:t>
      </w:r>
    </w:p>
    <w:p w14:paraId="4A2C69B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染事件。</w:t>
      </w:r>
      <w:r>
        <w:rPr>
          <w:rFonts w:ascii="Times New Roman"/>
          <w:color w:val="000000"/>
          <w:spacing w:val="0"/>
          <w:sz w:val="21"/>
        </w:rPr>
        <w:t xml:space="preserve">12 </w:t>
      </w:r>
      <w:r>
        <w:rPr>
          <w:rFonts w:ascii="楷体" w:hAnsi="楷体" w:cs="楷体"/>
          <w:color w:val="000000"/>
          <w:spacing w:val="0"/>
          <w:sz w:val="21"/>
        </w:rPr>
        <w:t>日，该区域内部分地区大气颗粒物（</w:t>
      </w:r>
      <w:r>
        <w:rPr>
          <w:rFonts w:ascii="Times New Roman"/>
          <w:color w:val="000000"/>
          <w:spacing w:val="0"/>
          <w:sz w:val="21"/>
        </w:rPr>
        <w:t>PM</w:t>
      </w:r>
      <w:r>
        <w:rPr>
          <w:rFonts w:ascii="楷体" w:hAnsi="楷体" w:cs="楷体"/>
          <w:color w:val="000000"/>
          <w:spacing w:val="0"/>
          <w:sz w:val="21"/>
        </w:rPr>
        <w:t>）浓度达到重度污染标准；</w:t>
      </w:r>
      <w:r>
        <w:rPr>
          <w:rFonts w:ascii="Times New Roman"/>
          <w:color w:val="000000"/>
          <w:spacing w:val="0"/>
          <w:sz w:val="21"/>
        </w:rPr>
        <w:t xml:space="preserve">13 </w:t>
      </w:r>
      <w:r>
        <w:rPr>
          <w:rFonts w:ascii="楷体" w:hAnsi="楷体" w:cs="楷体"/>
          <w:color w:val="000000"/>
          <w:spacing w:val="0"/>
          <w:sz w:val="21"/>
        </w:rPr>
        <w:t>日，各地污染状况先后</w:t>
      </w:r>
    </w:p>
    <w:p w14:paraId="04522CF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缓解。下图示意北京时间</w:t>
      </w:r>
      <w:r>
        <w:rPr>
          <w:rFonts w:ascii="Times New Roman"/>
          <w:color w:val="000000"/>
          <w:spacing w:val="0"/>
          <w:sz w:val="21"/>
        </w:rPr>
        <w:t xml:space="preserve"> 12 </w:t>
      </w:r>
      <w:r>
        <w:rPr>
          <w:rFonts w:ascii="楷体" w:hAnsi="楷体" w:cs="楷体"/>
          <w:color w:val="000000"/>
          <w:spacing w:val="0"/>
          <w:sz w:val="21"/>
        </w:rPr>
        <w:t>日</w:t>
      </w:r>
      <w:r>
        <w:rPr>
          <w:rFonts w:ascii="Times New Roman"/>
          <w:color w:val="000000"/>
          <w:spacing w:val="0"/>
          <w:sz w:val="21"/>
        </w:rPr>
        <w:t xml:space="preserve"> 20 </w:t>
      </w:r>
      <w:r>
        <w:rPr>
          <w:rFonts w:ascii="楷体" w:hAnsi="楷体" w:cs="楷体"/>
          <w:color w:val="000000"/>
          <w:spacing w:val="0"/>
          <w:sz w:val="21"/>
        </w:rPr>
        <w:t>时亚洲局部地区海平面气压形势。据此完成下面小题。</w:t>
      </w:r>
    </w:p>
    <w:p w14:paraId="2F40FB18">
      <w:pPr>
        <w:spacing w:before="4011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564EE2A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9045294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2936532">
      <w:pPr>
        <w:pStyle w:val="6"/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4896CB9B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EB24C1F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34" o:spid="_x0000_s1034" o:spt="75" type="#_x0000_t75" style="position:absolute;left:0pt;margin-left:404.15pt;margin-top:72.55pt;height:2.75pt;width:2.7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212.1pt;margin-top:473.3pt;height:5.75pt;width:5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116.8pt;margin-top:769.7pt;height:2.75pt;width:2.75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7" o:spid="_x0000_s1037" o:spt="75" type="#_x0000_t75" style="position:absolute;left:0pt;margin-left:53pt;margin-top:69.55pt;height:243.65pt;width:240.6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38" o:spid="_x0000_s1038" o:spt="75" type="#_x0000_t75" style="position:absolute;left:0pt;margin-left:53pt;margin-top:485.3pt;height:160.35pt;width:336.65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北京时间</w:t>
      </w:r>
      <w:r>
        <w:rPr>
          <w:rFonts w:ascii="Times New Roman"/>
          <w:color w:val="000000"/>
          <w:spacing w:val="0"/>
          <w:sz w:val="21"/>
        </w:rPr>
        <w:t xml:space="preserve"> 12 </w:t>
      </w:r>
      <w:r>
        <w:rPr>
          <w:rFonts w:ascii="宋体" w:hAnsi="宋体" w:cs="宋体"/>
          <w:color w:val="000000"/>
          <w:spacing w:val="0"/>
          <w:sz w:val="21"/>
        </w:rPr>
        <w:t>日</w:t>
      </w:r>
      <w:r>
        <w:rPr>
          <w:rFonts w:ascii="Times New Roman"/>
          <w:color w:val="000000"/>
          <w:spacing w:val="0"/>
          <w:sz w:val="21"/>
        </w:rPr>
        <w:t xml:space="preserve"> 20 </w:t>
      </w:r>
      <w:r>
        <w:rPr>
          <w:rFonts w:ascii="宋体" w:hAnsi="宋体" w:cs="宋体"/>
          <w:color w:val="000000"/>
          <w:spacing w:val="0"/>
          <w:sz w:val="21"/>
        </w:rPr>
        <w:t>时前后，长三角地区比图中甲区域（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FE7A99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水汽少</w:t>
      </w:r>
      <w:r>
        <w:rPr>
          <w:rFonts w:ascii="Times New Roman"/>
          <w:color w:val="000000"/>
          <w:spacing w:val="144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气温低</w:t>
      </w:r>
      <w:r>
        <w:rPr>
          <w:rFonts w:ascii="Times New Roman"/>
          <w:color w:val="000000"/>
          <w:spacing w:val="14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风力弱</w:t>
      </w:r>
      <w:r>
        <w:rPr>
          <w:rFonts w:ascii="Times New Roman"/>
          <w:color w:val="000000"/>
          <w:spacing w:val="145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气压高</w:t>
      </w:r>
    </w:p>
    <w:p w14:paraId="75D91F8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该区域内污染状况首先缓解的应是（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4B5365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江苏北部</w:t>
      </w:r>
      <w:r>
        <w:rPr>
          <w:rFonts w:ascii="Times New Roman"/>
          <w:color w:val="000000"/>
          <w:spacing w:val="123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安徽南部</w:t>
      </w:r>
      <w:r>
        <w:rPr>
          <w:rFonts w:ascii="Times New Roman"/>
          <w:color w:val="000000"/>
          <w:spacing w:val="124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江西东部</w:t>
      </w:r>
      <w:r>
        <w:rPr>
          <w:rFonts w:ascii="Times New Roman"/>
          <w:color w:val="000000"/>
          <w:spacing w:val="124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浙江西部</w:t>
      </w:r>
    </w:p>
    <w:p w14:paraId="792F277B"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铍矿是我国紧缺战略性矿产资源之一。</w:t>
      </w:r>
      <w:r>
        <w:rPr>
          <w:rFonts w:ascii="Times New Roman"/>
          <w:color w:val="000000"/>
          <w:spacing w:val="0"/>
          <w:sz w:val="21"/>
        </w:rPr>
        <w:t xml:space="preserve">2024 </w:t>
      </w:r>
      <w:r>
        <w:rPr>
          <w:rFonts w:ascii="楷体" w:hAnsi="楷体" w:cs="楷体"/>
          <w:color w:val="000000"/>
          <w:spacing w:val="0"/>
          <w:sz w:val="21"/>
        </w:rPr>
        <w:t>年我国在鄂湘赣交界的幕阜山地区发现含铍矿的岩体。该</w:t>
      </w:r>
    </w:p>
    <w:p w14:paraId="6504604F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岩体是岩浆多期侵入到上覆岩层中冷却形成，后经剥蚀出露地表。为确定岩体形成时间，研究人员对周边</w:t>
      </w:r>
    </w:p>
    <w:p w14:paraId="2D4B846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地层进行了详细地质调查。下图示意幕阜山局部地区该类岩体及周边地层分布。据此完成下面小题。</w:t>
      </w:r>
    </w:p>
    <w:p w14:paraId="24D15DF2">
      <w:pPr>
        <w:spacing w:before="367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该地铍矿所在岩体的类型应是（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8AA639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砂页岩</w:t>
      </w:r>
      <w:r>
        <w:rPr>
          <w:rFonts w:ascii="Times New Roman"/>
          <w:color w:val="000000"/>
          <w:spacing w:val="144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石灰岩</w:t>
      </w:r>
      <w:r>
        <w:rPr>
          <w:rFonts w:ascii="Times New Roman"/>
          <w:color w:val="000000"/>
          <w:spacing w:val="14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玄武岩</w:t>
      </w:r>
      <w:r>
        <w:rPr>
          <w:rFonts w:ascii="Times New Roman"/>
          <w:color w:val="000000"/>
          <w:spacing w:val="145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花岗岩</w:t>
      </w:r>
    </w:p>
    <w:p w14:paraId="148E2E0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该地铍矿所在岩体形成时间可能是（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EDBBBE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早于寒武纪，晚于元古宙</w:t>
      </w:r>
      <w:r>
        <w:rPr>
          <w:rFonts w:ascii="Times New Roman"/>
          <w:color w:val="000000"/>
          <w:spacing w:val="220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早于元古宙，晚于太古宙</w:t>
      </w:r>
    </w:p>
    <w:p w14:paraId="291A16E8">
      <w:pPr>
        <w:spacing w:before="577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135B43E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761363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9A80379">
      <w:pPr>
        <w:pStyle w:val="6"/>
        <w:sectPr>
          <w:pgSz w:w="11900" w:h="16840"/>
          <w:pgMar w:top="6435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730C8D3E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B769F38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39" o:spid="_x0000_s1039" o:spt="75" type="#_x0000_t75" style="position:absolute;left:0pt;margin-left:404.15pt;margin-top:72.55pt;height:2.75pt;width:2.75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40" o:spid="_x0000_s1040" o:spt="75" type="#_x0000_t75" style="position:absolute;left:0pt;margin-left:212.1pt;margin-top:473.3pt;height:5.75pt;width: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41" o:spid="_x0000_s1041" o:spt="75" type="#_x0000_t75" style="position:absolute;left:0pt;margin-left:116.8pt;margin-top:769.7pt;height:2.75pt;width:2.75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42" o:spid="_x0000_s1042" o:spt="75" type="#_x0000_t75" style="position:absolute;left:0pt;margin-left:59.8pt;margin-top:84.55pt;height:8.75pt;width:4.25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43" o:spid="_x0000_s1043" o:spt="75" type="#_x0000_t75" style="position:absolute;left:0pt;margin-left:53pt;margin-top:216.65pt;height:167.85pt;width:221.85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pict>
          <v:shape id="_x0000_s1044" o:spid="_x0000_s1044" o:spt="75" type="#_x0000_t75" style="position:absolute;left:0pt;margin-left:60.55pt;margin-top:427.5pt;height:8.75pt;width:4.25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早于第四纪，晚于奥陶纪</w:t>
      </w:r>
      <w:r>
        <w:rPr>
          <w:rFonts w:ascii="Times New Roman"/>
          <w:color w:val="000000"/>
          <w:spacing w:val="221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早于奥陶纪，晚于寒武纪</w:t>
      </w:r>
    </w:p>
    <w:p w14:paraId="43946746">
      <w:pPr>
        <w:spacing w:before="38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该地第四纪地层分布区可能发育的地貌是（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FA228B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黄土梁</w:t>
      </w:r>
      <w:r>
        <w:rPr>
          <w:rFonts w:ascii="Times New Roman"/>
          <w:color w:val="000000"/>
          <w:spacing w:val="144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V </w:t>
      </w:r>
      <w:r>
        <w:rPr>
          <w:rFonts w:ascii="宋体" w:hAnsi="宋体" w:cs="宋体"/>
          <w:color w:val="000000"/>
          <w:spacing w:val="0"/>
          <w:sz w:val="21"/>
        </w:rPr>
        <w:t>形谷</w:t>
      </w:r>
      <w:r>
        <w:rPr>
          <w:rFonts w:ascii="Times New Roman"/>
          <w:color w:val="000000"/>
          <w:spacing w:val="151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火山锥</w:t>
      </w:r>
      <w:r>
        <w:rPr>
          <w:rFonts w:ascii="Times New Roman"/>
          <w:color w:val="000000"/>
          <w:spacing w:val="145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落水洞</w:t>
      </w:r>
    </w:p>
    <w:p w14:paraId="4F182134"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萨拉文化中心大楼位于瑞典谢莱夫特奥市（</w:t>
      </w:r>
      <w:r>
        <w:rPr>
          <w:rFonts w:ascii="Times New Roman"/>
          <w:color w:val="000000"/>
          <w:spacing w:val="0"/>
          <w:sz w:val="21"/>
        </w:rPr>
        <w:t>64</w:t>
      </w:r>
      <w:r>
        <w:rPr>
          <w:rFonts w:ascii="楷体" w:hAnsi="楷体" w:cs="楷体"/>
          <w:color w:val="000000"/>
          <w:spacing w:val="0"/>
          <w:sz w:val="21"/>
        </w:rPr>
        <w:t>°</w:t>
      </w:r>
      <w:r>
        <w:rPr>
          <w:rFonts w:ascii="Times New Roman"/>
          <w:color w:val="000000"/>
          <w:spacing w:val="0"/>
          <w:sz w:val="21"/>
        </w:rPr>
        <w:t>48'N</w:t>
      </w:r>
      <w:r>
        <w:rPr>
          <w:rFonts w:ascii="楷体" w:hAnsi="楷体" w:cs="楷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>21</w:t>
      </w:r>
      <w:r>
        <w:rPr>
          <w:rFonts w:ascii="楷体" w:hAnsi="楷体" w:cs="楷体"/>
          <w:color w:val="000000"/>
          <w:spacing w:val="0"/>
          <w:sz w:val="21"/>
        </w:rPr>
        <w:t>°</w:t>
      </w:r>
      <w:r>
        <w:rPr>
          <w:rFonts w:ascii="Times New Roman"/>
          <w:color w:val="000000"/>
          <w:spacing w:val="0"/>
          <w:sz w:val="21"/>
        </w:rPr>
        <w:t>00'E</w:t>
      </w:r>
      <w:r>
        <w:rPr>
          <w:rFonts w:ascii="楷体" w:hAnsi="楷体" w:cs="楷体"/>
          <w:color w:val="000000"/>
          <w:spacing w:val="-6"/>
          <w:sz w:val="21"/>
        </w:rPr>
        <w:t>），是全球第三高的现代木结构建筑。</w:t>
      </w:r>
    </w:p>
    <w:p w14:paraId="5B884F7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该建筑所用木材全部来自本地地带性植被，在低楼层采用垂直百叶窗以更好满足采光、通风等需要。下图</w:t>
      </w:r>
    </w:p>
    <w:p w14:paraId="5AC76BA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为垂直百叶窗示意图。据此完成下面小题。</w:t>
      </w:r>
    </w:p>
    <w:p w14:paraId="103A4FF2">
      <w:pPr>
        <w:spacing w:before="367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该建筑物木材所采用的地带性植被还分布于（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98E2E46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西西伯利亚平原</w:t>
      </w:r>
      <w:r>
        <w:rPr>
          <w:rFonts w:ascii="Times New Roman"/>
          <w:color w:val="000000"/>
          <w:spacing w:val="304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亚马孙平原</w:t>
      </w:r>
    </w:p>
    <w:p w14:paraId="5AFDE80F">
      <w:pPr>
        <w:spacing w:before="38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长江中下游平原</w:t>
      </w:r>
      <w:r>
        <w:rPr>
          <w:rFonts w:ascii="Times New Roman"/>
          <w:color w:val="000000"/>
          <w:spacing w:val="305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美索不达米亚平原</w:t>
      </w:r>
    </w:p>
    <w:p w14:paraId="25A2EF6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15. 6</w:t>
      </w:r>
      <w:r>
        <w:rPr>
          <w:rFonts w:ascii="Times New Roman"/>
          <w:color w:val="000000"/>
          <w:spacing w:val="-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-1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22</w:t>
      </w:r>
      <w:r>
        <w:rPr>
          <w:rFonts w:ascii="Times New Roman"/>
          <w:color w:val="000000"/>
          <w:spacing w:val="-13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日，正东朝向的垂直百叶窗在α</w:t>
      </w:r>
      <w:r>
        <w:rPr>
          <w:rFonts w:ascii="Times New Roman"/>
          <w:color w:val="000000"/>
          <w:spacing w:val="0"/>
          <w:sz w:val="21"/>
        </w:rPr>
        <w:t>=90</w:t>
      </w:r>
      <w:r>
        <w:rPr>
          <w:rFonts w:ascii="宋体" w:hAnsi="宋体" w:cs="宋体"/>
          <w:color w:val="000000"/>
          <w:spacing w:val="-8"/>
          <w:sz w:val="21"/>
        </w:rPr>
        <w:t>“时，阳光照射进房间（忽略叶片厚度）的理论时长约为（</w:t>
      </w:r>
    </w:p>
    <w:p w14:paraId="62268EF7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6842CA2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3 </w:t>
      </w:r>
      <w:r>
        <w:rPr>
          <w:rFonts w:ascii="宋体" w:hAnsi="宋体" w:cs="宋体"/>
          <w:color w:val="000000"/>
          <w:spacing w:val="0"/>
          <w:sz w:val="21"/>
        </w:rPr>
        <w:t>小时</w:t>
      </w:r>
      <w:r>
        <w:rPr>
          <w:rFonts w:ascii="Times New Roman"/>
          <w:color w:val="000000"/>
          <w:spacing w:val="155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6 </w:t>
      </w:r>
      <w:r>
        <w:rPr>
          <w:rFonts w:ascii="宋体" w:hAnsi="宋体" w:cs="宋体"/>
          <w:color w:val="000000"/>
          <w:spacing w:val="0"/>
          <w:sz w:val="21"/>
        </w:rPr>
        <w:t>小时</w:t>
      </w:r>
      <w:r>
        <w:rPr>
          <w:rFonts w:ascii="Times New Roman"/>
          <w:color w:val="000000"/>
          <w:spacing w:val="156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12 </w:t>
      </w:r>
      <w:r>
        <w:rPr>
          <w:rFonts w:ascii="宋体" w:hAnsi="宋体" w:cs="宋体"/>
          <w:color w:val="000000"/>
          <w:spacing w:val="0"/>
          <w:sz w:val="21"/>
        </w:rPr>
        <w:t>小时</w:t>
      </w:r>
      <w:r>
        <w:rPr>
          <w:rFonts w:ascii="Times New Roman"/>
          <w:color w:val="000000"/>
          <w:spacing w:val="145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21 </w:t>
      </w:r>
      <w:r>
        <w:rPr>
          <w:rFonts w:ascii="宋体" w:hAnsi="宋体" w:cs="宋体"/>
          <w:color w:val="000000"/>
          <w:spacing w:val="0"/>
          <w:sz w:val="21"/>
        </w:rPr>
        <w:t>小时</w:t>
      </w:r>
    </w:p>
    <w:p w14:paraId="49AEE50A">
      <w:pPr>
        <w:spacing w:before="16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二、非选择题：本大题共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55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653212EF">
      <w:pPr>
        <w:spacing w:before="16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阅读图文材料，完成下列要求。</w:t>
      </w:r>
    </w:p>
    <w:p w14:paraId="773746EC"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瑞士小镇瓦尔斯地处阿尔卑斯山峡谷之中，温泉资源丰富，人口约</w:t>
      </w:r>
      <w:r>
        <w:rPr>
          <w:rFonts w:ascii="Times New Roman"/>
          <w:color w:val="000000"/>
          <w:spacing w:val="0"/>
          <w:sz w:val="21"/>
        </w:rPr>
        <w:t xml:space="preserve"> 1000 </w:t>
      </w:r>
      <w:r>
        <w:rPr>
          <w:rFonts w:ascii="楷体" w:hAnsi="楷体" w:cs="楷体"/>
          <w:color w:val="000000"/>
          <w:spacing w:val="0"/>
          <w:sz w:val="21"/>
        </w:rPr>
        <w:t>人，对外交通仅有一条公路。</w:t>
      </w:r>
    </w:p>
    <w:p w14:paraId="3C4181C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20 </w:t>
      </w:r>
      <w:r>
        <w:rPr>
          <w:rFonts w:ascii="楷体" w:hAnsi="楷体" w:cs="楷体"/>
          <w:color w:val="000000"/>
          <w:spacing w:val="0"/>
          <w:sz w:val="21"/>
        </w:rPr>
        <w:t>世纪末，当地利用废弃采石场，建成洞穴式温泉浴场。该温泉浴场受洪水威胁较小，对场镇居民生产生</w:t>
      </w:r>
    </w:p>
    <w:p w14:paraId="67FF4B9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活影响也小。</w:t>
      </w:r>
      <w:r>
        <w:rPr>
          <w:rFonts w:ascii="Times New Roman"/>
          <w:color w:val="000000"/>
          <w:spacing w:val="0"/>
          <w:sz w:val="21"/>
        </w:rPr>
        <w:t xml:space="preserve">2009 </w:t>
      </w:r>
      <w:r>
        <w:rPr>
          <w:rFonts w:ascii="楷体" w:hAnsi="楷体" w:cs="楷体"/>
          <w:color w:val="000000"/>
          <w:spacing w:val="0"/>
          <w:sz w:val="21"/>
        </w:rPr>
        <w:t>年瓦尔斯温泉浴场获得世界建筑界最高奖，极大提升了该镇知名度，但至今该镇温泉旅</w:t>
      </w:r>
    </w:p>
    <w:p w14:paraId="5697F300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游业规模仍然较小。如图为瓦尔斯温泉浴场位置示意图。</w:t>
      </w:r>
    </w:p>
    <w:p w14:paraId="1E195E4D">
      <w:pPr>
        <w:spacing w:before="2089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8050D28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46B3202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BD807A9">
      <w:pPr>
        <w:pStyle w:val="6"/>
        <w:sectPr>
          <w:pgSz w:w="11900" w:h="16840"/>
          <w:pgMar w:top="1441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7CBBF9D2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6" w:name="_GoBack"/>
      <w:bookmarkEnd w:id="6"/>
    </w:p>
    <w:p w14:paraId="226CF390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045" o:spid="_x0000_s1045" o:spt="75" type="#_x0000_t75" style="position:absolute;left:0pt;margin-left:404.15pt;margin-top:72.55pt;height:2.75pt;width:2.75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46" o:spid="_x0000_s1046" o:spt="75" type="#_x0000_t75" style="position:absolute;left:0pt;margin-left:212.1pt;margin-top:473.3pt;height:5.75pt;width: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47" o:spid="_x0000_s1047" o:spt="75" type="#_x0000_t75" style="position:absolute;left:0pt;margin-left:116.8pt;margin-top:769.7pt;height:2.75pt;width:2.75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48" o:spid="_x0000_s1048" o:spt="75" type="#_x0000_t75" style="position:absolute;left:0pt;margin-left:53pt;margin-top:71.8pt;height:145.35pt;width:336.65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）分析瓦尔斯温泉浴场对场镇及周边区域环境影响小的原因。</w:t>
      </w:r>
    </w:p>
    <w:p w14:paraId="46D4E5E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）说明瓦尔斯温泉浴场受洪水威胁较小的原因。</w:t>
      </w:r>
    </w:p>
    <w:p w14:paraId="057A25A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）指出限制该镇大规模发展温泉旅游业的区位条件。</w:t>
      </w:r>
    </w:p>
    <w:p w14:paraId="143279D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阅读文字材料，完成下列要求。</w:t>
      </w:r>
    </w:p>
    <w:p w14:paraId="01159C07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广西南宁市马山县被誉为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中国黑山羊之乡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，黑山羊养殖历史悠久，养殖农户多。该县黑山羊肉质</w:t>
      </w:r>
    </w:p>
    <w:p w14:paraId="30F81FC4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优良，较多销往粤港澳地区。马山县属喀斯特丘陵山区，森林覆盖率超过</w:t>
      </w:r>
      <w:r>
        <w:rPr>
          <w:rFonts w:ascii="Times New Roman"/>
          <w:color w:val="000000"/>
          <w:spacing w:val="0"/>
          <w:sz w:val="21"/>
        </w:rPr>
        <w:t xml:space="preserve"> 70%</w:t>
      </w:r>
      <w:r>
        <w:rPr>
          <w:rFonts w:ascii="楷体" w:hAnsi="楷体" w:cs="楷体"/>
          <w:color w:val="000000"/>
          <w:spacing w:val="0"/>
          <w:sz w:val="21"/>
        </w:rPr>
        <w:t>。当地黑山羊传统养殖方式</w:t>
      </w:r>
    </w:p>
    <w:p w14:paraId="654DC49F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为就近放养于山岭间，以灌丛和野草等为食，植被被黑山羊啃食之后恢复周期较长。为解决此问题，近年</w:t>
      </w:r>
    </w:p>
    <w:p w14:paraId="16E64E8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来当地政府积极推广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无土牧草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栽培技术，生态效益明显。</w:t>
      </w:r>
    </w:p>
    <w:p w14:paraId="6D55DBA2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）从合理利用土地角度，分析马山县有较多农户放养黑山羊的原因。</w:t>
      </w:r>
    </w:p>
    <w:p w14:paraId="7111BB5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）马山县黑山羊销往粤港澳地区较多，主要是因为：</w:t>
      </w:r>
    </w:p>
    <w:p w14:paraId="51246DFC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①马山县所在省区与粤港澳地区毗邻，运输距离短，运输成本低；</w:t>
      </w:r>
    </w:p>
    <w:p w14:paraId="67DAA42A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②马山县发展较为滞后，当地黑山羊销售价格与粤港澳地区差异大，将黑山羊销往粤港澳地区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宋体" w:hAnsi="宋体" w:cs="宋体"/>
          <w:color w:val="000000"/>
          <w:spacing w:val="0"/>
          <w:sz w:val="21"/>
        </w:rPr>
        <w:t>；</w:t>
      </w:r>
    </w:p>
    <w:p w14:paraId="2F95B0C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③粤港澳地区人口众多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D5BB5D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）从地形角度，分析该地被黑山羊啃食后的植被恢复周期较长的原因。</w:t>
      </w:r>
    </w:p>
    <w:p w14:paraId="75C3831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阅读图文材料，完成下列要求。</w:t>
      </w:r>
    </w:p>
    <w:p w14:paraId="4C3B6CEF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蒙新河狸是国家一级重点保护野生动物，在我国仅栖息于新疆准噶尔盆地乌伦古河（内流河）的河水</w:t>
      </w:r>
    </w:p>
    <w:p w14:paraId="212DD77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与近岸。乌伦古河发源于阿尔泰山，近几十年来该流域农牧业发展迅速，蒙新河狸因栖息地减少濒临灭绝。</w:t>
      </w:r>
    </w:p>
    <w:p w14:paraId="44627922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调查表明，在乌伦古河干流河段，下游较上游蒙新河狸更为稀少。</w:t>
      </w:r>
      <w:r>
        <w:rPr>
          <w:rFonts w:ascii="Times New Roman"/>
          <w:color w:val="000000"/>
          <w:spacing w:val="0"/>
          <w:sz w:val="21"/>
        </w:rPr>
        <w:t xml:space="preserve">2018 </w:t>
      </w:r>
      <w:r>
        <w:rPr>
          <w:rFonts w:ascii="楷体" w:hAnsi="楷体" w:cs="楷体"/>
          <w:color w:val="000000"/>
          <w:spacing w:val="0"/>
          <w:sz w:val="21"/>
        </w:rPr>
        <w:t>年以来，几名青年志愿者发起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河</w:t>
      </w:r>
    </w:p>
    <w:p w14:paraId="3FCF812B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狸食堂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公益活动，克服当地自然条件的限制，在乌伦古河两岸种植河狸喜食的灌木柳。迄今为止，我国</w:t>
      </w:r>
    </w:p>
    <w:p w14:paraId="5E2AF292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蒙新河狸的数量增加到约</w:t>
      </w:r>
      <w:r>
        <w:rPr>
          <w:rFonts w:ascii="Times New Roman"/>
          <w:color w:val="000000"/>
          <w:spacing w:val="0"/>
          <w:sz w:val="21"/>
        </w:rPr>
        <w:t xml:space="preserve"> 750 </w:t>
      </w:r>
      <w:r>
        <w:rPr>
          <w:rFonts w:ascii="楷体" w:hAnsi="楷体" w:cs="楷体"/>
          <w:color w:val="000000"/>
          <w:spacing w:val="0"/>
          <w:sz w:val="21"/>
        </w:rPr>
        <w:t>只。如图示意乌伦古河干流下游河段水文地质剖面。</w:t>
      </w:r>
    </w:p>
    <w:p w14:paraId="136F0E60">
      <w:pPr>
        <w:spacing w:before="1669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89EE5C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5725AEA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F51F2D6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5" w:name="br6"/>
      <w:bookmarkEnd w:id="5"/>
      <w:r>
        <w:pict>
          <v:shape id="_x0000_s1049" o:spid="_x0000_s1049" o:spt="75" type="#_x0000_t75" style="position:absolute;left:0pt;margin-left:404.15pt;margin-top:72.55pt;height:2.75pt;width:2.7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50" o:spid="_x0000_s1050" o:spt="75" type="#_x0000_t75" style="position:absolute;left:0pt;margin-left:212.1pt;margin-top:473.3pt;height:5.75pt;width: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51" o:spid="_x0000_s1051" o:spt="75" type="#_x0000_t75" style="position:absolute;left:0pt;margin-left:116.8pt;margin-top:769.7pt;height:2.75pt;width:2.7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52" o:spid="_x0000_s1052" o:spt="75" type="#_x0000_t75" style="position:absolute;left:0pt;margin-left:53pt;margin-top:66.55pt;height:155.1pt;width:319.4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pict>
          <v:shape id="_x0000_s1053" o:spid="_x0000_s1053" o:spt="75" type="#_x0000_t75" style="position:absolute;left:0pt;margin-left:152.8pt;margin-top:225.65pt;height:16.25pt;width:12.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）在图中选择正确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图案，填入图例中的甲、乙两处，并说明理由。</w:t>
      </w:r>
    </w:p>
    <w:p w14:paraId="676CFB6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）分析乌伦古河干流下游河段蒙新河狸更为稀少的径流量原因。</w:t>
      </w:r>
    </w:p>
    <w:p w14:paraId="074A1DE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）分析</w:t>
      </w:r>
      <w:r>
        <w:rPr>
          <w:rFonts w:ascii="Times New Roman"/>
          <w:color w:val="000000"/>
          <w:spacing w:val="0"/>
          <w:sz w:val="21"/>
        </w:rPr>
        <w:t xml:space="preserve"> M </w:t>
      </w:r>
      <w:r>
        <w:rPr>
          <w:rFonts w:ascii="宋体" w:hAnsi="宋体" w:cs="宋体"/>
          <w:color w:val="000000"/>
          <w:spacing w:val="0"/>
          <w:sz w:val="21"/>
        </w:rPr>
        <w:t>地种植灌木柳的地下水条件。</w:t>
      </w:r>
    </w:p>
    <w:p w14:paraId="55B14CC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）作为一名青年学生，除到当地植树外，你还能参与哪些蒙新河狸保护行动？请提出一项行动，并写出</w:t>
      </w:r>
    </w:p>
    <w:p w14:paraId="655E0E10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该行动促进蒙新河狸数量增长的地理过程。</w:t>
      </w:r>
    </w:p>
    <w:p w14:paraId="73A64186">
      <w:pPr>
        <w:spacing w:before="870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4562" w:right="100" w:bottom="0" w:left="1080" w:header="720" w:footer="720" w:gutter="0"/>
      <w:pgNumType w:start="1"/>
      <w:cols w:space="720" w:num="1"/>
      <w:docGrid w:linePitch="1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A6D7DF69-18B9-4D69-8D78-DFA01E32ABE4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2677E24D-41DB-480D-9306-D4386BFC5F13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51364D61-928E-40D2-9564-43F05639E302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A6F1D256-880B-40C2-9CED-713E19B37FF3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71759C7F-FA4E-4157-8966-33C4C04D453E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10D2B226-3089-4CF0-950C-1D52A1F6D33B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BA99DBA2-738C-400A-A776-39326321D88D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8" w:fontKey="{E19B9654-294D-4DA3-83D5-C2A7B50D12A4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00D874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F1FDC5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02E629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896BC6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69844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FD08D9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10623BE2"/>
    <w:rsid w:val="5DAE3618"/>
    <w:rsid w:val="7DF25D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 w:line="259" w:lineRule="auto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12.jpeg"/><Relationship Id="rId22" Type="http://schemas.openxmlformats.org/officeDocument/2006/relationships/image" Target="media/image11.jpeg"/><Relationship Id="rId21" Type="http://schemas.openxmlformats.org/officeDocument/2006/relationships/image" Target="media/image10.jpeg"/><Relationship Id="rId20" Type="http://schemas.openxmlformats.org/officeDocument/2006/relationships/image" Target="media/image9.jpeg"/><Relationship Id="rId2" Type="http://schemas.openxmlformats.org/officeDocument/2006/relationships/settings" Target="settings.xml"/><Relationship Id="rId19" Type="http://schemas.openxmlformats.org/officeDocument/2006/relationships/image" Target="media/image8.jpeg"/><Relationship Id="rId18" Type="http://schemas.openxmlformats.org/officeDocument/2006/relationships/image" Target="media/image7.jpeg"/><Relationship Id="rId17" Type="http://schemas.openxmlformats.org/officeDocument/2006/relationships/image" Target="media/image6.jpeg"/><Relationship Id="rId16" Type="http://schemas.openxmlformats.org/officeDocument/2006/relationships/image" Target="media/image5.jpeg"/><Relationship Id="rId15" Type="http://schemas.openxmlformats.org/officeDocument/2006/relationships/image" Target="media/image4.jpeg"/><Relationship Id="rId14" Type="http://schemas.openxmlformats.org/officeDocument/2006/relationships/image" Target="media/image3.jpeg"/><Relationship Id="rId13" Type="http://schemas.openxmlformats.org/officeDocument/2006/relationships/image" Target="media/image2.jpeg"/><Relationship Id="rId12" Type="http://schemas.openxmlformats.org/officeDocument/2006/relationships/image" Target="media/image1.jpe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5"/>
    <customShpInfo spid="_x0000_s1026"/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4"/>
    <customShpInfo spid="_x0000_s1045"/>
    <customShpInfo spid="_x0000_s1046"/>
    <customShpInfo spid="_x0000_s1047"/>
    <customShpInfo spid="_x0000_s1048"/>
    <customShpInfo spid="_x0000_s1049"/>
    <customShpInfo spid="_x0000_s1050"/>
    <customShpInfo spid="_x0000_s1051"/>
    <customShpInfo spid="_x0000_s1052"/>
    <customShpInfo spid="_x0000_s105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gunxue</Company>
  <Pages>12</Pages>
  <Words>2728</Words>
  <Characters>2938</Characters>
  <Lines>0</Lines>
  <Paragraphs>101</Paragraphs>
  <TotalTime>3</TotalTime>
  <ScaleCrop>false</ScaleCrop>
  <LinksUpToDate>false</LinksUpToDate>
  <CharactersWithSpaces>3151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2025-07-21T01:58:00Z</dcterms:created>
  <dc:creator>xiaoqiao</dc:creator>
  <cp:lastModifiedBy>上帝掷骰子吗</cp:lastModifiedBy>
  <dcterms:modified xsi:type="dcterms:W3CDTF">2026-02-10T06:55:59Z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AA75607CA9544E22A4B6526F4C2A4342_12</vt:lpwstr>
  </property>
</Properties>
</file>