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12E3E6A">
      <w:pPr>
        <w:widowControl w:val="0"/>
        <w:spacing w:before="0" w:after="0" w:line="286" w:lineRule="auto"/>
        <w:jc w:val="center"/>
        <w:rPr>
          <w:sz w:val="32"/>
          <w:szCs w:val="32"/>
        </w:rPr>
      </w:pPr>
      <w:r>
        <w:rPr>
          <w:strike w:val="0"/>
          <w:sz w:val="32"/>
          <w:szCs w:val="32"/>
          <w:u w:val="non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11696700</wp:posOffset>
            </wp:positionH>
            <wp:positionV relativeFrom="topMargin">
              <wp:posOffset>11620500</wp:posOffset>
            </wp:positionV>
            <wp:extent cx="485775" cy="371475"/>
            <wp:effectExtent l="0" t="0" r="9525" b="9525"/>
            <wp:wrapNone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bCs/>
          <w:sz w:val="32"/>
          <w:szCs w:val="32"/>
        </w:rPr>
        <w:t>2024年湖南省初中学业水平考试</w:t>
      </w:r>
    </w:p>
    <w:p w14:paraId="2E8FAF2C">
      <w:pPr>
        <w:widowControl w:val="0"/>
        <w:spacing w:before="0" w:after="0" w:line="286" w:lineRule="auto"/>
        <w:jc w:val="center"/>
        <w:rPr>
          <w:sz w:val="32"/>
          <w:szCs w:val="32"/>
        </w:rPr>
      </w:pPr>
      <w:r>
        <w:rPr>
          <w:rFonts w:ascii="宋体" w:hAnsi="宋体" w:eastAsia="宋体" w:cs="宋体"/>
          <w:b/>
          <w:bCs/>
          <w:sz w:val="32"/>
          <w:szCs w:val="32"/>
        </w:rPr>
        <w:t>地理</w:t>
      </w:r>
    </w:p>
    <w:p w14:paraId="42EEBE53">
      <w:pPr>
        <w:widowControl w:val="0"/>
        <w:spacing w:before="0" w:after="0" w:line="286" w:lineRule="auto"/>
        <w:jc w:val="center"/>
      </w:pPr>
      <w:r>
        <w:rPr>
          <w:rFonts w:ascii="宋体" w:hAnsi="宋体" w:eastAsia="宋体" w:cs="宋体"/>
          <w:b/>
          <w:bCs/>
        </w:rPr>
        <w:t>本试题卷共8页,时量60分钟,满分100分</w:t>
      </w:r>
    </w:p>
    <w:p w14:paraId="35ED913F">
      <w:pPr>
        <w:widowControl w:val="0"/>
        <w:spacing w:before="0" w:after="0" w:line="286" w:lineRule="auto"/>
      </w:pPr>
      <w:r>
        <w:rPr>
          <w:rFonts w:ascii="宋体" w:hAnsi="宋体" w:eastAsia="宋体" w:cs="宋体"/>
          <w:b/>
          <w:bCs/>
        </w:rPr>
        <w:t>注意事项：</w:t>
      </w:r>
    </w:p>
    <w:p w14:paraId="19F763D6">
      <w:pPr>
        <w:widowControl w:val="0"/>
        <w:spacing w:before="0" w:after="0" w:line="286" w:lineRule="auto"/>
      </w:pPr>
      <w:r>
        <w:rPr>
          <w:rFonts w:ascii="宋体" w:hAnsi="宋体" w:eastAsia="宋体" w:cs="宋体"/>
          <w:b/>
          <w:bCs/>
        </w:rPr>
        <w:t>1.答题前，考生先将自己的姓名、准考证号写在答题卡和本试题卷上，并认真核对条形码上的姓名、准考证号和相关信息。</w:t>
      </w:r>
    </w:p>
    <w:p w14:paraId="71DBB70A">
      <w:pPr>
        <w:widowControl w:val="0"/>
        <w:spacing w:before="0" w:after="0" w:line="286" w:lineRule="auto"/>
      </w:pPr>
      <w:r>
        <w:rPr>
          <w:rFonts w:ascii="宋体" w:hAnsi="宋体" w:eastAsia="宋体" w:cs="宋体"/>
          <w:b/>
          <w:bCs/>
        </w:rPr>
        <w:t>2.选择题部分请按题号用2B铅笔填涂方框，修改时用橡皮擦干净，不留痕迹。</w:t>
      </w:r>
    </w:p>
    <w:p w14:paraId="4777BD6A">
      <w:pPr>
        <w:widowControl w:val="0"/>
        <w:spacing w:before="0" w:after="0" w:line="286" w:lineRule="auto"/>
      </w:pPr>
      <w:r>
        <w:rPr>
          <w:rFonts w:ascii="宋体" w:hAnsi="宋体" w:eastAsia="宋体" w:cs="宋体"/>
          <w:b/>
          <w:bCs/>
        </w:rPr>
        <w:t>3.非选择题部分请按题号用0.5毫米黑色墨水签字笔书写，否则作答无效。</w:t>
      </w:r>
    </w:p>
    <w:p w14:paraId="6B53B82D">
      <w:pPr>
        <w:widowControl w:val="0"/>
        <w:spacing w:before="0" w:after="0" w:line="286" w:lineRule="auto"/>
      </w:pPr>
      <w:r>
        <w:rPr>
          <w:rFonts w:ascii="宋体" w:hAnsi="宋体" w:eastAsia="宋体" w:cs="宋体"/>
          <w:b/>
          <w:bCs/>
        </w:rPr>
        <w:t>4.在草稿纸、试题卷上作答无效。</w:t>
      </w:r>
    </w:p>
    <w:p w14:paraId="25402720">
      <w:pPr>
        <w:widowControl w:val="0"/>
        <w:spacing w:before="0" w:after="0" w:line="286" w:lineRule="auto"/>
      </w:pPr>
      <w:r>
        <w:rPr>
          <w:rFonts w:ascii="宋体" w:hAnsi="宋体" w:eastAsia="宋体" w:cs="宋体"/>
          <w:b/>
          <w:bCs/>
        </w:rPr>
        <w:t>5.请勿折叠答题卡，保持字体工整、笔迹清晰、卡面清洁。</w:t>
      </w:r>
    </w:p>
    <w:p w14:paraId="08FD21CB">
      <w:pPr>
        <w:widowControl w:val="0"/>
        <w:spacing w:before="0" w:after="0" w:line="286" w:lineRule="auto"/>
      </w:pPr>
      <w:r>
        <w:rPr>
          <w:rFonts w:ascii="宋体" w:hAnsi="宋体" w:eastAsia="宋体" w:cs="宋体"/>
          <w:b/>
          <w:bCs/>
        </w:rPr>
        <w:t>6.答题卡上不得使用涂改液、涂改胶和贴纸。</w:t>
      </w:r>
    </w:p>
    <w:p w14:paraId="2B25BD6F">
      <w:pPr>
        <w:widowControl w:val="0"/>
        <w:spacing w:before="0" w:after="0" w:line="286" w:lineRule="auto"/>
      </w:pPr>
      <w:r>
        <w:rPr>
          <w:rFonts w:ascii="宋体" w:hAnsi="宋体" w:eastAsia="宋体" w:cs="宋体"/>
          <w:b/>
          <w:bCs/>
        </w:rPr>
        <w:t>一、选择题：本题共25小题，每小题2分，共50分。在每小题给出的四个选项中，只有一项是符合题目要求的。</w:t>
      </w:r>
    </w:p>
    <w:p w14:paraId="6016F909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巴西铁矿资源丰富，是钢铁出口大国。下图示意巴西铁矿资源分布和某年钢铁产品出口目的地。据此完成下面小题。</w:t>
      </w:r>
    </w:p>
    <w:p w14:paraId="4C315FF4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4229100" cy="23336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6EF0B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1. </w:t>
      </w:r>
      <w:r>
        <w:rPr>
          <w:rFonts w:ascii="宋体" w:hAnsi="宋体" w:eastAsia="宋体" w:cs="宋体"/>
          <w:sz w:val="21"/>
          <w:szCs w:val="21"/>
        </w:rPr>
        <w:t>巴西钢铁产业崛起的资源优势是（   ）</w:t>
      </w:r>
    </w:p>
    <w:p w14:paraId="4164D32B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丰富的铁矿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广袤的草原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充沛的降水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崎岖的地形</w:t>
      </w:r>
    </w:p>
    <w:p w14:paraId="74E5385E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2. </w:t>
      </w:r>
      <w:r>
        <w:rPr>
          <w:rFonts w:ascii="宋体" w:hAnsi="宋体" w:eastAsia="宋体" w:cs="宋体"/>
          <w:sz w:val="21"/>
          <w:szCs w:val="21"/>
        </w:rPr>
        <w:t>图中数字表示巴西当年钢铁产品出口比重，其中比重最大的大洲是（   ）</w:t>
      </w:r>
    </w:p>
    <w:p w14:paraId="57224D40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亚洲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南美洲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欧洲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北美洲</w:t>
      </w:r>
    </w:p>
    <w:p w14:paraId="52B7DA39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3. </w:t>
      </w:r>
      <w:r>
        <w:rPr>
          <w:rFonts w:ascii="宋体" w:hAnsi="宋体" w:eastAsia="宋体" w:cs="宋体"/>
          <w:sz w:val="21"/>
          <w:szCs w:val="21"/>
        </w:rPr>
        <w:t>钢铁产品出口主要反映了巴西与其他国家间的（   ）</w:t>
      </w:r>
    </w:p>
    <w:p w14:paraId="0492D494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医疗联系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文化联系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体育联系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贸易联系</w:t>
      </w:r>
    </w:p>
    <w:p w14:paraId="172E1F7C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亚洲地域辽阔，自然环境、人文环境差异显著。下图示意亚洲人种分布。据此完成下面小题。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28575" cy="28575"/>
            <wp:effectExtent l="0" t="0" r="0" b="0"/>
            <wp:docPr id="100013" name="图片 100013" descr="page number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page number 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C5B14">
      <w:p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type w:val="continuous"/>
          <w:pgSz w:w="11927" w:h="16875"/>
          <w:pgMar w:top="800" w:right="1120" w:bottom="540" w:left="1120" w:header="708" w:footer="708" w:gutter="0"/>
          <w:cols w:space="708" w:num="1"/>
          <w:docGrid w:linePitch="360" w:charSpace="0"/>
        </w:sectPr>
      </w:pPr>
    </w:p>
    <w:p w14:paraId="53EDDD87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3352800" cy="23812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6933A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4. </w:t>
      </w:r>
      <w:r>
        <w:rPr>
          <w:rFonts w:ascii="宋体" w:hAnsi="宋体" w:eastAsia="宋体" w:cs="宋体"/>
          <w:sz w:val="21"/>
          <w:szCs w:val="21"/>
        </w:rPr>
        <w:t>亚洲（   ）</w:t>
      </w:r>
    </w:p>
    <w:p w14:paraId="68A7EA91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东临大西洋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西连欧洲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南临北冰洋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北连大洋洲</w:t>
      </w:r>
    </w:p>
    <w:p w14:paraId="1B79B872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5. </w:t>
      </w:r>
      <w:r>
        <w:rPr>
          <w:rFonts w:ascii="宋体" w:hAnsi="宋体" w:eastAsia="宋体" w:cs="宋体"/>
          <w:sz w:val="21"/>
          <w:szCs w:val="21"/>
        </w:rPr>
        <w:t>亚洲河流有的有结冰期，有的无结冰期，主要原因是亚洲（   ）</w:t>
      </w:r>
    </w:p>
    <w:p w14:paraId="39E06240">
      <w:pPr>
        <w:widowControl w:val="0"/>
        <w:tabs>
          <w:tab w:val="left" w:pos="4873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地跨北寒带、北温带和热带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地形平坦</w:t>
      </w:r>
    </w:p>
    <w:p w14:paraId="2B9BFDB5">
      <w:pPr>
        <w:widowControl w:val="0"/>
        <w:tabs>
          <w:tab w:val="left" w:pos="4873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>C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38100" cy="95250"/>
            <wp:effectExtent l="0" t="0" r="0" b="0"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</w:rPr>
        <w:t xml:space="preserve"> </w:t>
      </w:r>
      <w:r>
        <w:rPr>
          <w:rFonts w:ascii="宋体" w:hAnsi="宋体" w:eastAsia="宋体" w:cs="宋体"/>
          <w:sz w:val="21"/>
          <w:szCs w:val="21"/>
        </w:rPr>
        <w:t>植被类型多样、覆盖率较高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火山众多</w:t>
      </w:r>
    </w:p>
    <w:p w14:paraId="12828980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6. </w:t>
      </w:r>
      <w:r>
        <w:rPr>
          <w:rFonts w:ascii="宋体" w:hAnsi="宋体" w:eastAsia="宋体" w:cs="宋体"/>
          <w:sz w:val="21"/>
          <w:szCs w:val="21"/>
        </w:rPr>
        <w:t>甲地居民皮肤呈淡黄色、头发黑直、脸型宽平，他们属于（   ）</w:t>
      </w:r>
    </w:p>
    <w:p w14:paraId="29D20297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白色人种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黑色人种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黄色人种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混血人种</w:t>
      </w:r>
    </w:p>
    <w:p w14:paraId="784A9B19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亚马尔半岛有着丰富的油气资源。气温越低，北冰洋沿岸冻土越坚硬，越有利于油气工程车行驶。下图示意亚马尔半岛地理位置。据此完成下面小题。</w:t>
      </w:r>
    </w:p>
    <w:p w14:paraId="3F75D7AE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2771775" cy="178117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7E162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7. </w:t>
      </w:r>
      <w:r>
        <w:rPr>
          <w:rFonts w:ascii="宋体" w:hAnsi="宋体" w:eastAsia="宋体" w:cs="宋体"/>
          <w:sz w:val="21"/>
          <w:szCs w:val="21"/>
        </w:rPr>
        <w:t>油气资源作为非可再生资源，其特点是（   ）</w:t>
      </w:r>
    </w:p>
    <w:p w14:paraId="39E43E07">
      <w:pPr>
        <w:widowControl w:val="0"/>
        <w:tabs>
          <w:tab w:val="left" w:pos="4873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可循环使用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短时间内可以更新</w:t>
      </w:r>
    </w:p>
    <w:p w14:paraId="715B8A2E">
      <w:pPr>
        <w:widowControl w:val="0"/>
        <w:tabs>
          <w:tab w:val="left" w:pos="4873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能取之不尽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短时间内不可再生</w:t>
      </w:r>
    </w:p>
    <w:p w14:paraId="62C1E723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8. </w:t>
      </w:r>
      <w:r>
        <w:rPr>
          <w:rFonts w:ascii="宋体" w:hAnsi="宋体" w:eastAsia="宋体" w:cs="宋体"/>
          <w:sz w:val="21"/>
          <w:szCs w:val="21"/>
        </w:rPr>
        <w:t>下列月份中，最有利于亚马尔半岛油气工程车行驶的是（   ）</w:t>
      </w:r>
    </w:p>
    <w:p w14:paraId="4F1F0344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1月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4月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7月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10月</w:t>
      </w:r>
    </w:p>
    <w:p w14:paraId="35E094B3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9. </w:t>
      </w:r>
      <w:r>
        <w:rPr>
          <w:rFonts w:ascii="宋体" w:hAnsi="宋体" w:eastAsia="宋体" w:cs="宋体"/>
          <w:sz w:val="21"/>
          <w:szCs w:val="21"/>
        </w:rPr>
        <w:t>工作人员在亚马尔半岛及附近海域可看到（   ）</w:t>
      </w:r>
    </w:p>
    <w:p w14:paraId="7DAC9738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热带雨林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北极熊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成群企鹅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非洲象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28575" cy="28575"/>
            <wp:effectExtent l="0" t="0" r="0" b="0"/>
            <wp:docPr id="100033" name="图片 100033" descr="page numbe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page number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A947E">
      <w:pPr>
        <w:sectPr>
          <w:headerReference r:id="rId9" w:type="default"/>
          <w:type w:val="continuous"/>
          <w:pgSz w:w="11927" w:h="16875"/>
          <w:pgMar w:top="800" w:right="1120" w:bottom="540" w:left="1120" w:header="708" w:footer="708" w:gutter="0"/>
          <w:cols w:space="708" w:num="1"/>
          <w:docGrid w:linePitch="360" w:charSpace="0"/>
        </w:sectPr>
      </w:pPr>
    </w:p>
    <w:p w14:paraId="2DE4B42A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中国国家版本馆由北京总馆、西安分馆、杭州分馆和广州分馆组成，用于收藏、保护和展示国家版本资源，被誉为“中华文化种子基因库”。下图示意中国国家版本馆的地理位置及其建筑风格。据此完成下面小题。</w:t>
      </w:r>
    </w:p>
    <w:p w14:paraId="6272E7A2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2867025" cy="2362200"/>
            <wp:effectExtent l="0" t="0" r="9525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85E729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10. </w:t>
      </w:r>
      <w:r>
        <w:rPr>
          <w:rFonts w:ascii="宋体" w:hAnsi="宋体" w:eastAsia="宋体" w:cs="宋体"/>
          <w:sz w:val="21"/>
          <w:szCs w:val="21"/>
        </w:rPr>
        <w:t>四个馆（   ）</w:t>
      </w:r>
    </w:p>
    <w:p w14:paraId="352F8A4D">
      <w:pPr>
        <w:widowControl w:val="0"/>
        <w:tabs>
          <w:tab w:val="left" w:pos="4873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都分布在第一级阶梯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分布在第一、二级阶梯</w:t>
      </w:r>
    </w:p>
    <w:p w14:paraId="3A35B014">
      <w:pPr>
        <w:widowControl w:val="0"/>
        <w:tabs>
          <w:tab w:val="left" w:pos="4873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都分布在第二级阶梯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分布在第二、三级阶梯</w:t>
      </w:r>
    </w:p>
    <w:p w14:paraId="512D40A0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11. </w:t>
      </w:r>
      <w:r>
        <w:rPr>
          <w:rFonts w:ascii="宋体" w:hAnsi="宋体" w:eastAsia="宋体" w:cs="宋体"/>
          <w:sz w:val="21"/>
          <w:szCs w:val="21"/>
        </w:rPr>
        <w:t>四个馆的建筑风格（   ）</w:t>
      </w:r>
    </w:p>
    <w:p w14:paraId="15736C5C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如出一辙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以敦煌神韵为主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各具特色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以江南宋韵为主</w:t>
      </w:r>
    </w:p>
    <w:p w14:paraId="39B196F4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12. </w:t>
      </w:r>
      <w:r>
        <w:rPr>
          <w:rFonts w:ascii="宋体" w:hAnsi="宋体" w:eastAsia="宋体" w:cs="宋体"/>
          <w:sz w:val="21"/>
          <w:szCs w:val="21"/>
        </w:rPr>
        <w:t>四个馆均设有藏品展览区，这为市民提供了（   ）</w:t>
      </w:r>
    </w:p>
    <w:p w14:paraId="166AA4B6">
      <w:pPr>
        <w:widowControl w:val="0"/>
        <w:tabs>
          <w:tab w:val="left" w:pos="4873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了解文化的窗口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运动锻炼的场所</w:t>
      </w:r>
    </w:p>
    <w:p w14:paraId="4C57D303">
      <w:pPr>
        <w:widowControl w:val="0"/>
        <w:tabs>
          <w:tab w:val="left" w:pos="4873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享受美食的餐馆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购物娱乐的商城</w:t>
      </w:r>
    </w:p>
    <w:p w14:paraId="76437F50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人口密度是指平均每平方千米内居住的人口数。2020年，我国平均人口密度为147人/千米</w:t>
      </w:r>
      <w:r>
        <w:rPr>
          <w:sz w:val="14"/>
          <w:szCs w:val="14"/>
        </w:rPr>
        <w:t>2</w:t>
      </w:r>
      <w:r>
        <w:rPr>
          <w:rFonts w:ascii="楷体" w:hAnsi="楷体" w:eastAsia="楷体" w:cs="楷体"/>
          <w:sz w:val="21"/>
          <w:szCs w:val="21"/>
        </w:rPr>
        <w:t>。下表示意我国某省2019年至2022年人口密度。据此完成下面小题。</w:t>
      </w:r>
    </w:p>
    <w:tbl>
      <w:tblPr>
        <w:tblStyle w:val="4"/>
        <w:tblW w:w="5940" w:type="dxa"/>
        <w:tblInd w:w="128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2331"/>
        <w:gridCol w:w="902"/>
        <w:gridCol w:w="902"/>
        <w:gridCol w:w="902"/>
        <w:gridCol w:w="903"/>
      </w:tblGrid>
      <w:tr w14:paraId="1150E7F9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25" w:type="dxa"/>
            <w:tcBorders>
              <w:bottom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40ED3159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年份</w:t>
            </w:r>
          </w:p>
        </w:tc>
        <w:tc>
          <w:tcPr>
            <w:tcW w:w="900" w:type="dxa"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53D0B2DE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2019年</w:t>
            </w:r>
          </w:p>
        </w:tc>
        <w:tc>
          <w:tcPr>
            <w:tcW w:w="900" w:type="dxa"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3A9E457B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2020年</w:t>
            </w:r>
          </w:p>
        </w:tc>
        <w:tc>
          <w:tcPr>
            <w:tcW w:w="900" w:type="dxa"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1987BF87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2021年</w:t>
            </w:r>
          </w:p>
        </w:tc>
        <w:tc>
          <w:tcPr>
            <w:tcW w:w="900" w:type="dxa"/>
            <w:tcBorders>
              <w:left w:val="single" w:color="000000" w:sz="6" w:space="0"/>
              <w:bottom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5AA7704E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2022年</w:t>
            </w:r>
          </w:p>
        </w:tc>
      </w:tr>
      <w:tr w14:paraId="4D3E5CB7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2325" w:type="dxa"/>
            <w:tcBorders>
              <w:top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0EA926B3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人口密度（人/千米</w:t>
            </w:r>
            <w:r>
              <w:rPr>
                <w:b w:val="0"/>
                <w:bCs w:val="0"/>
                <w:i w:val="0"/>
                <w:iCs w:val="0"/>
                <w:smallCaps w:val="0"/>
                <w:color w:val="000000"/>
                <w:sz w:val="14"/>
                <w:szCs w:val="14"/>
              </w:rPr>
              <w:t>2</w:t>
            </w: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）</w:t>
            </w:r>
          </w:p>
        </w:tc>
        <w:tc>
          <w:tcPr>
            <w:tcW w:w="900" w:type="dxa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43308397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652</w:t>
            </w:r>
          </w:p>
        </w:tc>
        <w:tc>
          <w:tcPr>
            <w:tcW w:w="900" w:type="dxa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70F5BEA9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651</w:t>
            </w:r>
          </w:p>
        </w:tc>
        <w:tc>
          <w:tcPr>
            <w:tcW w:w="900" w:type="dxa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401C8111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646</w:t>
            </w:r>
          </w:p>
        </w:tc>
        <w:tc>
          <w:tcPr>
            <w:tcW w:w="900" w:type="dxa"/>
            <w:tcBorders>
              <w:top w:val="single" w:color="000000" w:sz="6" w:space="0"/>
              <w:lef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56A8D694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643</w:t>
            </w:r>
          </w:p>
        </w:tc>
      </w:tr>
    </w:tbl>
    <w:p w14:paraId="4ABE2111">
      <w:pPr>
        <w:widowControl w:val="0"/>
        <w:spacing w:before="0" w:after="0" w:line="360" w:lineRule="auto"/>
        <w:rPr>
          <w:sz w:val="21"/>
          <w:szCs w:val="21"/>
        </w:rPr>
      </w:pPr>
    </w:p>
    <w:p w14:paraId="16A099D4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13. </w:t>
      </w:r>
      <w:r>
        <w:rPr>
          <w:rFonts w:ascii="宋体" w:hAnsi="宋体" w:eastAsia="宋体" w:cs="宋体"/>
          <w:sz w:val="21"/>
          <w:szCs w:val="21"/>
        </w:rPr>
        <w:t>该省2019年至2022年人口数量（   ）</w:t>
      </w:r>
    </w:p>
    <w:p w14:paraId="21BCE6EA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持续增加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持续减少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先增后减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先减后增</w:t>
      </w:r>
    </w:p>
    <w:p w14:paraId="6CB716FF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14. </w:t>
      </w:r>
      <w:r>
        <w:rPr>
          <w:rFonts w:ascii="宋体" w:hAnsi="宋体" w:eastAsia="宋体" w:cs="宋体"/>
          <w:sz w:val="21"/>
          <w:szCs w:val="21"/>
        </w:rPr>
        <w:t>我国东部地区人口密度远大于西部地区，判断该省应为（   ）</w:t>
      </w:r>
    </w:p>
    <w:p w14:paraId="37111852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西藏自治区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台湾省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内蒙古自治区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新疆维吾尔自治区</w:t>
      </w:r>
    </w:p>
    <w:p w14:paraId="6ADB1799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北京城市建设发展迅速，建有国家体育场、国家博物馆、首都国际机场等，还在城市中心打造了一批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28575" cy="28575"/>
            <wp:effectExtent l="0" t="0" r="0" b="0"/>
            <wp:docPr id="100049" name="图片 100049" descr="page number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page number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7A6C7">
      <w:pPr>
        <w:sectPr>
          <w:headerReference r:id="rId10" w:type="default"/>
          <w:type w:val="continuous"/>
          <w:pgSz w:w="11927" w:h="16875"/>
          <w:pgMar w:top="800" w:right="1120" w:bottom="540" w:left="1120" w:header="708" w:footer="708" w:gutter="0"/>
          <w:cols w:space="708" w:num="1"/>
          <w:docGrid w:linePitch="360" w:charSpace="0"/>
        </w:sectPr>
      </w:pPr>
    </w:p>
    <w:p w14:paraId="6749A790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开放式的街心公园、绿地等。据此完成下面小题。</w:t>
      </w:r>
    </w:p>
    <w:p w14:paraId="7FE2947C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15. </w:t>
      </w:r>
      <w:r>
        <w:rPr>
          <w:rFonts w:ascii="宋体" w:hAnsi="宋体" w:eastAsia="宋体" w:cs="宋体"/>
          <w:sz w:val="21"/>
          <w:szCs w:val="21"/>
        </w:rPr>
        <w:t>北京交通建设成就包括（   ）</w:t>
      </w:r>
    </w:p>
    <w:p w14:paraId="220DCFF4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国家体育场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国家博物馆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首都国际机场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街心公园、绿地</w:t>
      </w:r>
    </w:p>
    <w:p w14:paraId="68F47B7D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>16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38100" cy="95250"/>
            <wp:effectExtent l="0" t="0" r="0" b="0"/>
            <wp:docPr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</w:rPr>
        <w:t xml:space="preserve"> </w:t>
      </w:r>
      <w:r>
        <w:rPr>
          <w:rFonts w:ascii="宋体" w:hAnsi="宋体" w:eastAsia="宋体" w:cs="宋体"/>
          <w:sz w:val="21"/>
          <w:szCs w:val="21"/>
        </w:rPr>
        <w:t>北京建设街心公园和绿地有助于（   ）</w:t>
      </w:r>
    </w:p>
    <w:p w14:paraId="07826B80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提高矿产储量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缓解住房紧张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增加耕地面积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改善空气质量</w:t>
      </w:r>
    </w:p>
    <w:p w14:paraId="60BD4D02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优越的地理位置有助于新质生产力的发展。下图示意我国某区域新质生产力高水平城市分布。据此完成下面小题。</w:t>
      </w:r>
    </w:p>
    <w:p w14:paraId="01E5A822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3552825" cy="2371725"/>
            <wp:effectExtent l="0" t="0" r="9525" b="9525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0A024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17. </w:t>
      </w:r>
      <w:r>
        <w:rPr>
          <w:rFonts w:ascii="宋体" w:hAnsi="宋体" w:eastAsia="宋体" w:cs="宋体"/>
          <w:sz w:val="21"/>
          <w:szCs w:val="21"/>
        </w:rPr>
        <w:t>图示河流是（   ）</w:t>
      </w:r>
    </w:p>
    <w:p w14:paraId="5AE72C75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黄河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长江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珠江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闽江</w:t>
      </w:r>
    </w:p>
    <w:p w14:paraId="3D510024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18. </w:t>
      </w:r>
      <w:r>
        <w:rPr>
          <w:rFonts w:ascii="宋体" w:hAnsi="宋体" w:eastAsia="宋体" w:cs="宋体"/>
          <w:sz w:val="21"/>
          <w:szCs w:val="21"/>
        </w:rPr>
        <w:t>该区域中，新质生产力高水平城市（   ）</w:t>
      </w:r>
    </w:p>
    <w:p w14:paraId="2536C6CC">
      <w:pPr>
        <w:widowControl w:val="0"/>
        <w:tabs>
          <w:tab w:val="left" w:pos="4873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均沿渤海分布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大多为省会城市</w:t>
      </w:r>
    </w:p>
    <w:p w14:paraId="53B85A90">
      <w:pPr>
        <w:widowControl w:val="0"/>
        <w:tabs>
          <w:tab w:val="left" w:pos="4873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西南多东北少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都分布在山东省</w:t>
      </w:r>
    </w:p>
    <w:p w14:paraId="1967C593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19. </w:t>
      </w:r>
      <w:r>
        <w:rPr>
          <w:rFonts w:ascii="宋体" w:hAnsi="宋体" w:eastAsia="宋体" w:cs="宋体"/>
          <w:sz w:val="21"/>
          <w:szCs w:val="21"/>
        </w:rPr>
        <w:t>与该区域的内陆省份相比，山东省发展新质生产力特有的地理位置优势是（   ）</w:t>
      </w:r>
    </w:p>
    <w:p w14:paraId="65EAE036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地处热带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位于河流源头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濒临海洋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与北京相连</w:t>
      </w:r>
    </w:p>
    <w:p w14:paraId="4850A8EB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沅江航道是湘西、黔东南等地通往长江的便捷水路运输通道。下图示意沅江流域的城市分布。据此完成下面小题。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28575" cy="28575"/>
            <wp:effectExtent l="0" t="0" r="0" b="0"/>
            <wp:docPr id="100067" name="图片 100067" descr="page number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 descr="page number 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E72DF">
      <w:pPr>
        <w:sectPr>
          <w:headerReference r:id="rId11" w:type="default"/>
          <w:type w:val="continuous"/>
          <w:pgSz w:w="11927" w:h="16875"/>
          <w:pgMar w:top="800" w:right="1120" w:bottom="540" w:left="1120" w:header="708" w:footer="708" w:gutter="0"/>
          <w:cols w:space="708" w:num="1"/>
          <w:docGrid w:linePitch="360" w:charSpace="0"/>
        </w:sectPr>
      </w:pPr>
    </w:p>
    <w:p w14:paraId="4C32147D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2628900" cy="2895600"/>
            <wp:effectExtent l="0" t="0" r="0" b="0"/>
            <wp:docPr id="100081" name="图片 1000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图片 10008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9B39F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20. </w:t>
      </w:r>
      <w:r>
        <w:rPr>
          <w:rFonts w:ascii="宋体" w:hAnsi="宋体" w:eastAsia="宋体" w:cs="宋体"/>
          <w:sz w:val="21"/>
          <w:szCs w:val="21"/>
        </w:rPr>
        <w:t>沅江流域发展水路运输的基础是（   ）</w:t>
      </w:r>
    </w:p>
    <w:p w14:paraId="5239F407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植被茂密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河网密布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土壤肥沃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气候严寒</w:t>
      </w:r>
    </w:p>
    <w:p w14:paraId="7E6C269D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21. </w:t>
      </w:r>
      <w:r>
        <w:rPr>
          <w:rFonts w:ascii="宋体" w:hAnsi="宋体" w:eastAsia="宋体" w:cs="宋体"/>
          <w:sz w:val="21"/>
          <w:szCs w:val="21"/>
        </w:rPr>
        <w:t>古代沅江航道商旅往来密集，促使当时沿线区域（   ）</w:t>
      </w:r>
    </w:p>
    <w:p w14:paraId="417FE828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>A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38100" cy="95250"/>
            <wp:effectExtent l="0" t="0" r="0" b="0"/>
            <wp:docPr id="100083" name="图片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</w:rPr>
        <w:t xml:space="preserve"> </w:t>
      </w:r>
      <w:r>
        <w:rPr>
          <w:rFonts w:ascii="宋体" w:hAnsi="宋体" w:eastAsia="宋体" w:cs="宋体"/>
          <w:sz w:val="21"/>
          <w:szCs w:val="21"/>
        </w:rPr>
        <w:t>船只减少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人口减少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水电站增多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商铺增多</w:t>
      </w:r>
    </w:p>
    <w:p w14:paraId="4C6A2C5D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22. </w:t>
      </w:r>
      <w:r>
        <w:rPr>
          <w:rFonts w:ascii="宋体" w:hAnsi="宋体" w:eastAsia="宋体" w:cs="宋体"/>
          <w:sz w:val="21"/>
          <w:szCs w:val="21"/>
        </w:rPr>
        <w:t>沅江流域的城市（   ）</w:t>
      </w:r>
    </w:p>
    <w:p w14:paraId="14D6A2E4">
      <w:pPr>
        <w:widowControl w:val="0"/>
        <w:tabs>
          <w:tab w:val="left" w:pos="4873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多在高纬度地区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集中在洞庭湖</w:t>
      </w:r>
    </w:p>
    <w:p w14:paraId="630E5513">
      <w:pPr>
        <w:widowControl w:val="0"/>
        <w:tabs>
          <w:tab w:val="left" w:pos="4873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主要沿河流分布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集中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142875" cy="190500"/>
            <wp:effectExtent l="0" t="0" r="9525" b="0"/>
            <wp:docPr id="100085" name="图片 100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287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1"/>
          <w:szCs w:val="21"/>
        </w:rPr>
        <w:t>东北部</w:t>
      </w:r>
    </w:p>
    <w:p w14:paraId="00044B65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某市是所在国第二大城市，是重要的国际航空中心和著名的旅游胜地。据记载，该市气温最高曾达38℃。湖南省的小明暑假前往该市旅游，发现当地正值冬季。据此完成下面小题。</w:t>
      </w:r>
    </w:p>
    <w:p w14:paraId="6F77731E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23. </w:t>
      </w:r>
      <w:r>
        <w:rPr>
          <w:rFonts w:ascii="宋体" w:hAnsi="宋体" w:eastAsia="宋体" w:cs="宋体"/>
          <w:sz w:val="21"/>
          <w:szCs w:val="21"/>
        </w:rPr>
        <w:t>与该市中心区景观对应的是（   ）</w:t>
      </w:r>
    </w:p>
    <w:p w14:paraId="104E4DFB">
      <w:pPr>
        <w:widowControl w:val="0"/>
        <w:tabs>
          <w:tab w:val="left" w:pos="4873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1390650" cy="1152525"/>
            <wp:effectExtent l="0" t="0" r="0" b="9525"/>
            <wp:docPr id="100087" name="图片 10008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图片 10008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sz w:val="21"/>
          <w:szCs w:val="21"/>
          <w:u w:val="none"/>
        </w:rPr>
        <w:tab/>
      </w:r>
      <w:r>
        <w:rPr>
          <w:sz w:val="21"/>
          <w:szCs w:val="21"/>
        </w:rPr>
        <w:t xml:space="preserve">B. 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1447800" cy="1123950"/>
            <wp:effectExtent l="0" t="0" r="0" b="0"/>
            <wp:docPr id="100089" name="图片 10008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图片 10008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2B4E8">
      <w:pPr>
        <w:widowControl w:val="0"/>
        <w:tabs>
          <w:tab w:val="left" w:pos="4873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C. 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1428750" cy="1114425"/>
            <wp:effectExtent l="0" t="0" r="0" b="9525"/>
            <wp:docPr id="100091" name="图片 10009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1" name="图片 10009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trike w:val="0"/>
          <w:sz w:val="21"/>
          <w:szCs w:val="21"/>
          <w:u w:val="none"/>
        </w:rPr>
        <w:tab/>
      </w:r>
      <w:r>
        <w:rPr>
          <w:sz w:val="21"/>
          <w:szCs w:val="21"/>
        </w:rPr>
        <w:t xml:space="preserve">D. 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1447800" cy="1085850"/>
            <wp:effectExtent l="0" t="0" r="0" b="0"/>
            <wp:docPr id="100093" name="图片 1000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3" name="图片 10009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BF93A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24. </w:t>
      </w:r>
      <w:r>
        <w:rPr>
          <w:rFonts w:ascii="宋体" w:hAnsi="宋体" w:eastAsia="宋体" w:cs="宋体"/>
          <w:sz w:val="21"/>
          <w:szCs w:val="21"/>
        </w:rPr>
        <w:t>该市成为旅游胜地的优势条件有（   ）</w:t>
      </w:r>
    </w:p>
    <w:p w14:paraId="3AD7DA63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>A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38100" cy="95250"/>
            <wp:effectExtent l="0" t="0" r="0" b="0"/>
            <wp:docPr id="100095" name="图片 10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5" name="图片 10009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100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  <w:szCs w:val="21"/>
        </w:rPr>
        <w:t xml:space="preserve"> </w:t>
      </w:r>
      <w:r>
        <w:rPr>
          <w:rFonts w:ascii="宋体" w:hAnsi="宋体" w:eastAsia="宋体" w:cs="宋体"/>
          <w:sz w:val="21"/>
          <w:szCs w:val="21"/>
        </w:rPr>
        <w:t>气候寒冷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人口稀疏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矿产丰富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交通便捷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28575" cy="28575"/>
            <wp:effectExtent l="0" t="0" r="0" b="0"/>
            <wp:docPr id="100097" name="图片 100097" descr="page number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7" name="图片 100097" descr="page number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E7ED6">
      <w:pPr>
        <w:sectPr>
          <w:headerReference r:id="rId12" w:type="default"/>
          <w:type w:val="continuous"/>
          <w:pgSz w:w="11927" w:h="16875"/>
          <w:pgMar w:top="800" w:right="1120" w:bottom="540" w:left="1120" w:header="708" w:footer="708" w:gutter="0"/>
          <w:cols w:space="708" w:num="1"/>
          <w:docGrid w:linePitch="360" w:charSpace="0"/>
        </w:sectPr>
      </w:pPr>
    </w:p>
    <w:p w14:paraId="522A49AD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25. </w:t>
      </w:r>
      <w:r>
        <w:rPr>
          <w:rFonts w:ascii="宋体" w:hAnsi="宋体" w:eastAsia="宋体" w:cs="宋体"/>
          <w:sz w:val="21"/>
          <w:szCs w:val="21"/>
        </w:rPr>
        <w:t>该市气温年变化曲线对应下图中的（   ）</w:t>
      </w:r>
    </w:p>
    <w:p w14:paraId="6D9F40B4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2628900" cy="2819400"/>
            <wp:effectExtent l="0" t="0" r="0" b="0"/>
            <wp:docPr id="100111" name="图片 1001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1" name="图片 1001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0BF04">
      <w:pPr>
        <w:widowControl w:val="0"/>
        <w:tabs>
          <w:tab w:val="left" w:pos="2436"/>
          <w:tab w:val="left" w:pos="4873"/>
          <w:tab w:val="left" w:pos="7309"/>
        </w:tabs>
        <w:spacing w:before="0" w:after="0" w:line="360" w:lineRule="auto"/>
        <w:rPr>
          <w:rFonts w:ascii="Times New Roman" w:hAnsi="Times New Roman" w:eastAsia="Times New Roman" w:cs="Times New Roman"/>
          <w:sz w:val="21"/>
          <w:szCs w:val="21"/>
        </w:rPr>
      </w:pPr>
      <w:r>
        <w:rPr>
          <w:sz w:val="21"/>
          <w:szCs w:val="21"/>
        </w:rPr>
        <w:t xml:space="preserve">A. </w:t>
      </w:r>
      <w:r>
        <w:rPr>
          <w:rFonts w:ascii="宋体" w:hAnsi="宋体" w:eastAsia="宋体" w:cs="宋体"/>
          <w:sz w:val="21"/>
          <w:szCs w:val="21"/>
        </w:rPr>
        <w:t>①曲线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B. </w:t>
      </w:r>
      <w:r>
        <w:rPr>
          <w:rFonts w:ascii="宋体" w:hAnsi="宋体" w:eastAsia="宋体" w:cs="宋体"/>
          <w:sz w:val="21"/>
          <w:szCs w:val="21"/>
        </w:rPr>
        <w:t>②曲线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C. </w:t>
      </w:r>
      <w:r>
        <w:rPr>
          <w:rFonts w:ascii="宋体" w:hAnsi="宋体" w:eastAsia="宋体" w:cs="宋体"/>
          <w:sz w:val="21"/>
          <w:szCs w:val="21"/>
        </w:rPr>
        <w:t>③曲线</w:t>
      </w:r>
      <w:r>
        <w:rPr>
          <w:rFonts w:ascii="Times New Roman" w:hAnsi="Times New Roman" w:eastAsia="Times New Roman" w:cs="Times New Roman"/>
          <w:sz w:val="21"/>
          <w:szCs w:val="21"/>
        </w:rPr>
        <w:tab/>
      </w:r>
      <w:r>
        <w:rPr>
          <w:sz w:val="21"/>
          <w:szCs w:val="21"/>
        </w:rPr>
        <w:t xml:space="preserve">D. </w:t>
      </w:r>
      <w:r>
        <w:rPr>
          <w:rFonts w:ascii="宋体" w:hAnsi="宋体" w:eastAsia="宋体" w:cs="宋体"/>
          <w:sz w:val="21"/>
          <w:szCs w:val="21"/>
        </w:rPr>
        <w:t>④曲线</w:t>
      </w:r>
    </w:p>
    <w:p w14:paraId="1391D1AE">
      <w:pPr>
        <w:widowControl w:val="0"/>
        <w:spacing w:before="0" w:after="0" w:line="286" w:lineRule="auto"/>
      </w:pPr>
      <w:r>
        <w:rPr>
          <w:rFonts w:ascii="宋体" w:hAnsi="宋体" w:eastAsia="宋体" w:cs="宋体"/>
          <w:b/>
          <w:bCs/>
        </w:rPr>
        <w:t>二、非选择题：本题共5小题，共50分。</w:t>
      </w:r>
    </w:p>
    <w:p w14:paraId="37EB0858">
      <w:pPr>
        <w:widowControl w:val="0"/>
        <w:spacing w:before="0" w:after="0" w:line="286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【红色研学学以致用】</w:t>
      </w:r>
    </w:p>
    <w:p w14:paraId="4AA97925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26. </w:t>
      </w:r>
      <w:r>
        <w:rPr>
          <w:rFonts w:ascii="宋体" w:hAnsi="宋体" w:eastAsia="宋体" w:cs="宋体"/>
          <w:sz w:val="21"/>
          <w:szCs w:val="21"/>
        </w:rPr>
        <w:t>阅读图文材料，完成下列要求。</w:t>
      </w:r>
    </w:p>
    <w:p w14:paraId="70559C18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湖南某中学师生前往H村开展红色研学活动。下图为H村等高线地形图。</w:t>
      </w:r>
    </w:p>
    <w:p w14:paraId="7A3594F7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4562475" cy="2647950"/>
            <wp:effectExtent l="0" t="0" r="9525" b="0"/>
            <wp:docPr id="100113" name="图片 1001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3" name="图片 1001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3B82F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了解“红色故土”</w:t>
      </w:r>
    </w:p>
    <w:p w14:paraId="021AF564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（</w:t>
      </w:r>
      <w:r>
        <w:rPr>
          <w:sz w:val="21"/>
          <w:szCs w:val="21"/>
        </w:rPr>
        <w:t>1</w:t>
      </w:r>
      <w:r>
        <w:rPr>
          <w:rFonts w:ascii="宋体" w:hAnsi="宋体" w:eastAsia="宋体" w:cs="宋体"/>
          <w:sz w:val="21"/>
          <w:szCs w:val="21"/>
        </w:rPr>
        <w:t>）电子地图具有定位、缩放等功能。同学们在电子地图中查找到H村，使用电子地图的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功能放大比例尺，查看H村周边景点分布；然后查阅H村等高线地形图，发现该村所在区域属于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（填地形类型），地势险要，易守难攻。</w:t>
      </w:r>
    </w:p>
    <w:p w14:paraId="6B2C730C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追寻“烽火印记”</w:t>
      </w:r>
    </w:p>
    <w:p w14:paraId="32D84685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（</w:t>
      </w:r>
      <w:r>
        <w:rPr>
          <w:sz w:val="21"/>
          <w:szCs w:val="21"/>
        </w:rPr>
        <w:t>2</w:t>
      </w:r>
      <w:r>
        <w:rPr>
          <w:rFonts w:ascii="宋体" w:hAnsi="宋体" w:eastAsia="宋体" w:cs="宋体"/>
          <w:sz w:val="21"/>
          <w:szCs w:val="21"/>
        </w:rPr>
        <w:t>）迎着朝阳，同学们来到海拔约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米的A地参观学习“革命墙绘”；随后前往位于A地</w:t>
      </w:r>
      <w:r>
        <w:rPr>
          <w:sz w:val="21"/>
          <w:szCs w:val="21"/>
        </w:rPr>
        <w:t>________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28575" cy="28575"/>
            <wp:effectExtent l="0" t="0" r="0" b="0"/>
            <wp:docPr id="100115" name="图片 100115" descr="page number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5" name="图片 100115" descr="page number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21123">
      <w:pPr>
        <w:sectPr>
          <w:headerReference r:id="rId13" w:type="default"/>
          <w:type w:val="continuous"/>
          <w:pgSz w:w="11927" w:h="16875"/>
          <w:pgMar w:top="800" w:right="1120" w:bottom="540" w:left="1120" w:header="708" w:footer="708" w:gutter="0"/>
          <w:cols w:space="708" w:num="1"/>
          <w:docGrid w:linePitch="360" w:charSpace="0"/>
        </w:sectPr>
      </w:pPr>
    </w:p>
    <w:p w14:paraId="73DFCA91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方向的人民英雄纪念碑（图中B地）敬献花篮，此时同学们观察到碑影较长。</w:t>
      </w:r>
    </w:p>
    <w:p w14:paraId="3CE9E3F4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赓续“红色精神”</w:t>
      </w:r>
    </w:p>
    <w:p w14:paraId="59058F47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（</w:t>
      </w:r>
      <w:r>
        <w:rPr>
          <w:sz w:val="21"/>
          <w:szCs w:val="21"/>
        </w:rPr>
        <w:t>3</w:t>
      </w:r>
      <w:r>
        <w:rPr>
          <w:rFonts w:ascii="宋体" w:hAnsi="宋体" w:eastAsia="宋体" w:cs="宋体"/>
          <w:sz w:val="21"/>
          <w:szCs w:val="21"/>
        </w:rPr>
        <w:t>）临近正午，同学们返回人民英雄纪念碑前与烈士告别，观察到此时碑影较短。一天中碑影的长短变化，主要是由于地球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运动产生的。</w:t>
      </w:r>
    </w:p>
    <w:p w14:paraId="251B601B">
      <w:pPr>
        <w:widowControl w:val="0"/>
        <w:spacing w:before="0" w:after="0" w:line="286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【五育并举  地理实践】</w:t>
      </w:r>
    </w:p>
    <w:p w14:paraId="665C3F17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27. </w:t>
      </w:r>
      <w:r>
        <w:rPr>
          <w:rFonts w:ascii="宋体" w:hAnsi="宋体" w:eastAsia="宋体" w:cs="宋体"/>
          <w:sz w:val="21"/>
          <w:szCs w:val="21"/>
        </w:rPr>
        <w:t>阅读图文材料，完成下列要求。</w:t>
      </w:r>
    </w:p>
    <w:p w14:paraId="1FC443F9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暑假期间，大学生小华参加了“大美中国”的骑行活动。下图示意骑行线路。</w:t>
      </w:r>
    </w:p>
    <w:p w14:paraId="47299F97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5238750" cy="2428875"/>
            <wp:effectExtent l="0" t="0" r="0" b="9525"/>
            <wp:docPr id="100129" name="图片 1001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29" name="图片 1001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4E74F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安全骑行</w:t>
      </w:r>
    </w:p>
    <w:p w14:paraId="3ABE46D9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（</w:t>
      </w:r>
      <w:r>
        <w:rPr>
          <w:sz w:val="21"/>
          <w:szCs w:val="21"/>
        </w:rPr>
        <w:t>1</w:t>
      </w:r>
      <w:r>
        <w:rPr>
          <w:rFonts w:ascii="宋体" w:hAnsi="宋体" w:eastAsia="宋体" w:cs="宋体"/>
          <w:sz w:val="21"/>
          <w:szCs w:val="21"/>
        </w:rPr>
        <w:t>）小华根据天气预报（如图所示），得知武汉市未来三天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（填天气状况），决定暂缓骑行。</w:t>
      </w:r>
    </w:p>
    <w:p w14:paraId="41D65417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乐在途中</w:t>
      </w:r>
    </w:p>
    <w:p w14:paraId="78254C6F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（</w:t>
      </w:r>
      <w:r>
        <w:rPr>
          <w:sz w:val="21"/>
          <w:szCs w:val="21"/>
        </w:rPr>
        <w:t>2</w:t>
      </w:r>
      <w:r>
        <w:rPr>
          <w:rFonts w:ascii="宋体" w:hAnsi="宋体" w:eastAsia="宋体" w:cs="宋体"/>
          <w:sz w:val="21"/>
          <w:szCs w:val="21"/>
        </w:rPr>
        <w:t>）此次骑行途经了我国四大地理区域中的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地区和青藏地区，小华观察到安徽民居与西藏碉房的屋顶坡度差异显著，其主要影响因素是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。</w:t>
      </w:r>
    </w:p>
    <w:p w14:paraId="55659D26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知行合一</w:t>
      </w:r>
    </w:p>
    <w:p w14:paraId="71F72E4F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（</w:t>
      </w:r>
      <w:r>
        <w:rPr>
          <w:sz w:val="21"/>
          <w:szCs w:val="21"/>
        </w:rPr>
        <w:t>3</w:t>
      </w:r>
      <w:r>
        <w:rPr>
          <w:rFonts w:ascii="宋体" w:hAnsi="宋体" w:eastAsia="宋体" w:cs="宋体"/>
          <w:sz w:val="21"/>
          <w:szCs w:val="21"/>
        </w:rPr>
        <w:t>）西藏自治区的行政中心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市是骑行的终点站。在此地，小华参加了生态环境保护志愿者活动。简要说明青藏地区保护生态环境的重要性</w:t>
      </w:r>
      <w:r>
        <w:rPr>
          <w:sz w:val="21"/>
          <w:szCs w:val="21"/>
        </w:rPr>
        <w:t>_____________</w:t>
      </w:r>
      <w:r>
        <w:rPr>
          <w:rFonts w:ascii="宋体" w:hAnsi="宋体" w:eastAsia="宋体" w:cs="宋体"/>
          <w:sz w:val="21"/>
          <w:szCs w:val="21"/>
        </w:rPr>
        <w:t>。</w:t>
      </w:r>
    </w:p>
    <w:p w14:paraId="50976C46">
      <w:pPr>
        <w:widowControl w:val="0"/>
        <w:spacing w:before="0" w:after="0" w:line="286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【因地制宜区域发展】</w:t>
      </w:r>
    </w:p>
    <w:p w14:paraId="51B52F75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28. </w:t>
      </w:r>
      <w:r>
        <w:rPr>
          <w:rFonts w:ascii="宋体" w:hAnsi="宋体" w:eastAsia="宋体" w:cs="宋体"/>
          <w:sz w:val="21"/>
          <w:szCs w:val="21"/>
        </w:rPr>
        <w:t>阅读图文材料，完成下列要求。</w:t>
      </w:r>
    </w:p>
    <w:p w14:paraId="5BF4C6CE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秭归县四季皆有鲜橙产出，小脐橙变</w:t>
      </w:r>
      <w:r>
        <w:rPr>
          <w:rFonts w:ascii="宋体" w:hAnsi="宋体" w:eastAsia="宋体" w:cs="宋体"/>
          <w:sz w:val="21"/>
          <w:szCs w:val="21"/>
        </w:rPr>
        <w:t>“</w:t>
      </w:r>
      <w:r>
        <w:rPr>
          <w:rFonts w:ascii="楷体" w:hAnsi="楷体" w:eastAsia="楷体" w:cs="楷体"/>
          <w:sz w:val="21"/>
          <w:szCs w:val="21"/>
        </w:rPr>
        <w:t>致富果</w:t>
      </w:r>
      <w:r>
        <w:rPr>
          <w:rFonts w:ascii="宋体" w:hAnsi="宋体" w:eastAsia="宋体" w:cs="宋体"/>
          <w:sz w:val="21"/>
          <w:szCs w:val="21"/>
        </w:rPr>
        <w:t>”</w:t>
      </w:r>
      <w:r>
        <w:rPr>
          <w:rFonts w:ascii="楷体" w:hAnsi="楷体" w:eastAsia="楷体" w:cs="楷体"/>
          <w:sz w:val="21"/>
          <w:szCs w:val="21"/>
        </w:rPr>
        <w:t>。下图示意种归县地理位置。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28575" cy="28575"/>
            <wp:effectExtent l="0" t="0" r="0" b="0"/>
            <wp:docPr id="100131" name="图片 100131" descr="page number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1" name="图片 100131" descr="page number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FACE4">
      <w:pPr>
        <w:sectPr>
          <w:headerReference r:id="rId14" w:type="default"/>
          <w:type w:val="continuous"/>
          <w:pgSz w:w="11927" w:h="16875"/>
          <w:pgMar w:top="800" w:right="1120" w:bottom="540" w:left="1120" w:header="708" w:footer="708" w:gutter="0"/>
          <w:cols w:space="708" w:num="1"/>
          <w:docGrid w:linePitch="360" w:charSpace="0"/>
        </w:sectPr>
      </w:pPr>
    </w:p>
    <w:p w14:paraId="62B923D0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5238750" cy="2057400"/>
            <wp:effectExtent l="0" t="0" r="0" b="0"/>
            <wp:docPr id="100145" name="图片 1001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5" name="图片 1001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AABC5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四季橙香以“特”兴橙</w:t>
      </w:r>
    </w:p>
    <w:p w14:paraId="69D5F4E9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（</w:t>
      </w:r>
      <w:r>
        <w:rPr>
          <w:sz w:val="21"/>
          <w:szCs w:val="21"/>
        </w:rPr>
        <w:t>1</w:t>
      </w:r>
      <w:r>
        <w:rPr>
          <w:rFonts w:ascii="宋体" w:hAnsi="宋体" w:eastAsia="宋体" w:cs="宋体"/>
          <w:sz w:val="21"/>
          <w:szCs w:val="21"/>
        </w:rPr>
        <w:t>）自然环境为秭归实现四季有鲜橙创造了有利条件。完成下面框图。</w:t>
      </w:r>
    </w:p>
    <w:p w14:paraId="10B0BF45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5114925" cy="1619250"/>
            <wp:effectExtent l="0" t="0" r="9525" b="0"/>
            <wp:docPr id="100147" name="图片 1001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7" name="图片 1001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837BB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①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②</w:t>
      </w:r>
      <w:r>
        <w:rPr>
          <w:sz w:val="21"/>
          <w:szCs w:val="21"/>
        </w:rPr>
        <w:t>________</w:t>
      </w:r>
    </w:p>
    <w:p w14:paraId="5BEA51EA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科技兴农以“智”兴橙</w:t>
      </w:r>
    </w:p>
    <w:p w14:paraId="4DB47150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（</w:t>
      </w:r>
      <w:r>
        <w:rPr>
          <w:sz w:val="21"/>
          <w:szCs w:val="21"/>
        </w:rPr>
        <w:t>2</w:t>
      </w:r>
      <w:r>
        <w:rPr>
          <w:rFonts w:ascii="宋体" w:hAnsi="宋体" w:eastAsia="宋体" w:cs="宋体"/>
          <w:sz w:val="21"/>
          <w:szCs w:val="21"/>
        </w:rPr>
        <w:t>）在优越的自然条件基础上，农业科研人员培育出夏橙、九月红等新品种，实现了四季有鲜橙，这体现了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在农业发展中的重要作用。鲜橙采摘后装上汽车，通过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运输（填交通运输方式）运往县城批发市场，再销往千家万户。</w:t>
      </w:r>
    </w:p>
    <w:p w14:paraId="129237BC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橘颂新篇 以“旅”兴橙</w:t>
      </w:r>
    </w:p>
    <w:p w14:paraId="523FCECE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“</w:t>
      </w:r>
      <w:r>
        <w:rPr>
          <w:rFonts w:ascii="楷体" w:hAnsi="楷体" w:eastAsia="楷体" w:cs="楷体"/>
          <w:sz w:val="21"/>
          <w:szCs w:val="21"/>
        </w:rPr>
        <w:t>后皇嘉树，橘徕服兮</w:t>
      </w:r>
      <w:r>
        <w:rPr>
          <w:rFonts w:ascii="宋体" w:hAnsi="宋体" w:eastAsia="宋体" w:cs="宋体"/>
          <w:sz w:val="21"/>
          <w:szCs w:val="21"/>
        </w:rPr>
        <w:t>……”</w:t>
      </w:r>
      <w:r>
        <w:rPr>
          <w:rFonts w:ascii="楷体" w:hAnsi="楷体" w:eastAsia="楷体" w:cs="楷体"/>
          <w:sz w:val="21"/>
          <w:szCs w:val="21"/>
        </w:rPr>
        <w:t>屈原的《橘颂》为神归脐橙增添了文化意蕴，形成独特的</w:t>
      </w:r>
      <w:r>
        <w:rPr>
          <w:rFonts w:ascii="宋体" w:hAnsi="宋体" w:eastAsia="宋体" w:cs="宋体"/>
          <w:sz w:val="21"/>
          <w:szCs w:val="21"/>
        </w:rPr>
        <w:t>“</w:t>
      </w:r>
      <w:r>
        <w:rPr>
          <w:rFonts w:ascii="楷体" w:hAnsi="楷体" w:eastAsia="楷体" w:cs="楷体"/>
          <w:sz w:val="21"/>
          <w:szCs w:val="21"/>
        </w:rPr>
        <w:t>脐橙文化</w:t>
      </w:r>
      <w:r>
        <w:rPr>
          <w:rFonts w:ascii="宋体" w:hAnsi="宋体" w:eastAsia="宋体" w:cs="宋体"/>
          <w:sz w:val="21"/>
          <w:szCs w:val="21"/>
        </w:rPr>
        <w:t>”</w:t>
      </w:r>
      <w:r>
        <w:rPr>
          <w:rFonts w:ascii="楷体" w:hAnsi="楷体" w:eastAsia="楷体" w:cs="楷体"/>
          <w:sz w:val="21"/>
          <w:szCs w:val="21"/>
        </w:rPr>
        <w:t>。近年来，种归依托</w:t>
      </w:r>
      <w:r>
        <w:rPr>
          <w:rFonts w:ascii="宋体" w:hAnsi="宋体" w:eastAsia="宋体" w:cs="宋体"/>
          <w:sz w:val="21"/>
          <w:szCs w:val="21"/>
        </w:rPr>
        <w:t>“</w:t>
      </w:r>
      <w:r>
        <w:rPr>
          <w:rFonts w:ascii="楷体" w:hAnsi="楷体" w:eastAsia="楷体" w:cs="楷体"/>
          <w:sz w:val="21"/>
          <w:szCs w:val="21"/>
        </w:rPr>
        <w:t>脐橙文化</w:t>
      </w:r>
      <w:r>
        <w:rPr>
          <w:rFonts w:ascii="宋体" w:hAnsi="宋体" w:eastAsia="宋体" w:cs="宋体"/>
          <w:sz w:val="21"/>
          <w:szCs w:val="21"/>
        </w:rPr>
        <w:t>”</w:t>
      </w:r>
      <w:r>
        <w:rPr>
          <w:rFonts w:ascii="楷体" w:hAnsi="楷体" w:eastAsia="楷体" w:cs="楷体"/>
          <w:sz w:val="21"/>
          <w:szCs w:val="21"/>
        </w:rPr>
        <w:t>推进橙旅融合，以旅助农。</w:t>
      </w:r>
    </w:p>
    <w:p w14:paraId="08595A4F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（</w:t>
      </w:r>
      <w:r>
        <w:rPr>
          <w:sz w:val="21"/>
          <w:szCs w:val="21"/>
        </w:rPr>
        <w:t>3</w:t>
      </w:r>
      <w:r>
        <w:rPr>
          <w:rFonts w:ascii="宋体" w:hAnsi="宋体" w:eastAsia="宋体" w:cs="宋体"/>
          <w:sz w:val="21"/>
          <w:szCs w:val="21"/>
        </w:rPr>
        <w:t>）简述“脐橙文化”对归旅游业发展的有利影响。</w:t>
      </w:r>
    </w:p>
    <w:p w14:paraId="1686C03E">
      <w:pPr>
        <w:widowControl w:val="0"/>
        <w:spacing w:before="0" w:after="0" w:line="286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【优势互补区域合作】</w:t>
      </w:r>
    </w:p>
    <w:p w14:paraId="05B2FC45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29. </w:t>
      </w:r>
      <w:r>
        <w:rPr>
          <w:rFonts w:ascii="宋体" w:hAnsi="宋体" w:eastAsia="宋体" w:cs="宋体"/>
          <w:sz w:val="21"/>
          <w:szCs w:val="21"/>
        </w:rPr>
        <w:t>阅读图文材料，完成下列要求。</w:t>
      </w:r>
    </w:p>
    <w:p w14:paraId="5C3997BB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氢能是清洁能源，开发、利用清洁能源有助于改善生态环境。澳大利亚、日本优势互补，合作研究褐煤制氢。下图示意澳大利亚褐煤分布。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28575" cy="28575"/>
            <wp:effectExtent l="0" t="0" r="0" b="0"/>
            <wp:docPr id="100149" name="图片 100149" descr="page number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49" name="图片 100149" descr="page number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5B993">
      <w:pPr>
        <w:sectPr>
          <w:headerReference r:id="rId15" w:type="default"/>
          <w:type w:val="continuous"/>
          <w:pgSz w:w="11927" w:h="16875"/>
          <w:pgMar w:top="800" w:right="1120" w:bottom="540" w:left="1120" w:header="708" w:footer="708" w:gutter="0"/>
          <w:cols w:space="708" w:num="1"/>
          <w:docGrid w:linePitch="360" w:charSpace="0"/>
        </w:sectPr>
      </w:pPr>
    </w:p>
    <w:p w14:paraId="71135690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3048000" cy="2533650"/>
            <wp:effectExtent l="0" t="0" r="0" b="0"/>
            <wp:docPr id="100163" name="图片 1001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3" name="图片 1001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E19FD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褐煤的“前世今生”</w:t>
      </w:r>
    </w:p>
    <w:p w14:paraId="15FCDD65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（</w:t>
      </w:r>
      <w:r>
        <w:rPr>
          <w:sz w:val="21"/>
          <w:szCs w:val="21"/>
        </w:rPr>
        <w:t>1</w:t>
      </w:r>
      <w:r>
        <w:rPr>
          <w:rFonts w:ascii="宋体" w:hAnsi="宋体" w:eastAsia="宋体" w:cs="宋体"/>
          <w:sz w:val="21"/>
          <w:szCs w:val="21"/>
        </w:rPr>
        <w:t>）褐煤集中分布在澳大利亚的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（填方位）部沿海地区。根据海陆变迁的相关理论，结合澳大利亚褐煤含有大量海洋生物化石这一事实，推断这里曾经是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。</w:t>
      </w:r>
    </w:p>
    <w:p w14:paraId="705B0DA2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褐煤的“涅槃重生”</w:t>
      </w:r>
    </w:p>
    <w:p w14:paraId="0536BC95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（</w:t>
      </w:r>
      <w:r>
        <w:rPr>
          <w:sz w:val="21"/>
          <w:szCs w:val="21"/>
        </w:rPr>
        <w:t>2</w:t>
      </w:r>
      <w:r>
        <w:rPr>
          <w:rFonts w:ascii="宋体" w:hAnsi="宋体" w:eastAsia="宋体" w:cs="宋体"/>
          <w:sz w:val="21"/>
          <w:szCs w:val="21"/>
        </w:rPr>
        <w:t>）褐煤制氢需要投入大量的资源、资金、技术等。在合作研究褐煤制氢的过程中，澳大利亚主要提供褐煤，日本主要提供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。</w:t>
      </w:r>
    </w:p>
    <w:p w14:paraId="28825941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褐煤的开发争议</w:t>
      </w:r>
    </w:p>
    <w:p w14:paraId="65CB1800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“褐煤制氢”项目为澳大利亚创造了400多个本土工作岗位，可带来80亿澳元的经济价值，但制氢过程中会释放大量烟尘和有害气体。</w:t>
      </w:r>
    </w:p>
    <w:p w14:paraId="6623A7D0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（</w:t>
      </w:r>
      <w:r>
        <w:rPr>
          <w:sz w:val="21"/>
          <w:szCs w:val="21"/>
        </w:rPr>
        <w:t>3</w:t>
      </w:r>
      <w:r>
        <w:rPr>
          <w:rFonts w:ascii="宋体" w:hAnsi="宋体" w:eastAsia="宋体" w:cs="宋体"/>
          <w:sz w:val="21"/>
          <w:szCs w:val="21"/>
        </w:rPr>
        <w:t>）当地居民强烈要求澳大利亚政府停止“褐煤制氢”项目。你是否赞同，并说出你的理由。</w:t>
      </w:r>
    </w:p>
    <w:p w14:paraId="28374B17">
      <w:pPr>
        <w:widowControl w:val="0"/>
        <w:spacing w:before="0" w:after="0" w:line="286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【因河而育人地协调】</w:t>
      </w:r>
    </w:p>
    <w:p w14:paraId="104747F4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z w:val="21"/>
          <w:szCs w:val="21"/>
        </w:rPr>
        <w:t xml:space="preserve">30. </w:t>
      </w:r>
      <w:r>
        <w:rPr>
          <w:rFonts w:ascii="宋体" w:hAnsi="宋体" w:eastAsia="宋体" w:cs="宋体"/>
          <w:sz w:val="21"/>
          <w:szCs w:val="21"/>
        </w:rPr>
        <w:t>阅读图文材料，完成下列要求。</w:t>
      </w:r>
    </w:p>
    <w:p w14:paraId="767886D0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湄公河贯穿柬埔寨全境，是柬埔寨的</w:t>
      </w:r>
      <w:r>
        <w:rPr>
          <w:rFonts w:ascii="宋体" w:hAnsi="宋体" w:eastAsia="宋体" w:cs="宋体"/>
          <w:sz w:val="21"/>
          <w:szCs w:val="21"/>
        </w:rPr>
        <w:t>“</w:t>
      </w:r>
      <w:r>
        <w:rPr>
          <w:rFonts w:ascii="楷体" w:hAnsi="楷体" w:eastAsia="楷体" w:cs="楷体"/>
          <w:sz w:val="21"/>
          <w:szCs w:val="21"/>
        </w:rPr>
        <w:t>母亲河</w:t>
      </w:r>
      <w:r>
        <w:rPr>
          <w:rFonts w:ascii="宋体" w:hAnsi="宋体" w:eastAsia="宋体" w:cs="宋体"/>
          <w:sz w:val="21"/>
          <w:szCs w:val="21"/>
        </w:rPr>
        <w:t>”</w:t>
      </w:r>
      <w:r>
        <w:rPr>
          <w:rFonts w:ascii="楷体" w:hAnsi="楷体" w:eastAsia="楷体" w:cs="楷体"/>
          <w:sz w:val="21"/>
          <w:szCs w:val="21"/>
        </w:rPr>
        <w:t>。下图示意柬埔寨地理位置。</w:t>
      </w:r>
    </w:p>
    <w:p w14:paraId="012D4A8F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3086100" cy="2552700"/>
            <wp:effectExtent l="0" t="0" r="0" b="0"/>
            <wp:docPr id="100165" name="图片 1001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5" name="图片 1001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C2509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水之律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28575" cy="28575"/>
            <wp:effectExtent l="0" t="0" r="0" b="0"/>
            <wp:docPr id="100167" name="图片 100167" descr="page number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67" name="图片 100167" descr="page number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049FA">
      <w:pPr>
        <w:sectPr>
          <w:headerReference r:id="rId16" w:type="default"/>
          <w:type w:val="continuous"/>
          <w:pgSz w:w="11927" w:h="16875"/>
          <w:pgMar w:top="800" w:right="1120" w:bottom="540" w:left="1120" w:header="708" w:footer="708" w:gutter="0"/>
          <w:cols w:space="708" w:num="1"/>
          <w:docGrid w:linePitch="360" w:charSpace="0"/>
        </w:sectPr>
      </w:pPr>
    </w:p>
    <w:p w14:paraId="4A552B62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bookmarkStart w:id="0" w:name="_GoBack"/>
      <w:bookmarkEnd w:id="0"/>
      <w:r>
        <w:rPr>
          <w:rFonts w:ascii="楷体" w:hAnsi="楷体" w:eastAsia="楷体" w:cs="楷体"/>
          <w:sz w:val="21"/>
          <w:szCs w:val="21"/>
        </w:rPr>
        <w:t>柬埔寨首都多年月平均降水量</w:t>
      </w:r>
    </w:p>
    <w:tbl>
      <w:tblPr>
        <w:tblStyle w:val="4"/>
        <w:tblW w:w="6240" w:type="dxa"/>
        <w:tblInd w:w="128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60"/>
        <w:gridCol w:w="450"/>
        <w:gridCol w:w="450"/>
        <w:gridCol w:w="450"/>
        <w:gridCol w:w="555"/>
        <w:gridCol w:w="555"/>
        <w:gridCol w:w="555"/>
        <w:gridCol w:w="555"/>
        <w:gridCol w:w="555"/>
        <w:gridCol w:w="555"/>
        <w:gridCol w:w="555"/>
        <w:gridCol w:w="555"/>
        <w:gridCol w:w="450"/>
      </w:tblGrid>
      <w:tr w14:paraId="7E283915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40" w:type="dxa"/>
            <w:tcBorders>
              <w:bottom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755E20C7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月份</w:t>
            </w:r>
          </w:p>
        </w:tc>
        <w:tc>
          <w:tcPr>
            <w:tcW w:w="450" w:type="dxa"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4BE51318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1月</w:t>
            </w:r>
          </w:p>
        </w:tc>
        <w:tc>
          <w:tcPr>
            <w:tcW w:w="450" w:type="dxa"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07410B6F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2月</w:t>
            </w:r>
          </w:p>
        </w:tc>
        <w:tc>
          <w:tcPr>
            <w:tcW w:w="450" w:type="dxa"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12239F48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3月</w:t>
            </w:r>
          </w:p>
        </w:tc>
        <w:tc>
          <w:tcPr>
            <w:tcW w:w="450" w:type="dxa"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7ACD84DA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4月</w:t>
            </w:r>
          </w:p>
        </w:tc>
        <w:tc>
          <w:tcPr>
            <w:tcW w:w="450" w:type="dxa"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3697424E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5月</w:t>
            </w:r>
          </w:p>
        </w:tc>
        <w:tc>
          <w:tcPr>
            <w:tcW w:w="450" w:type="dxa"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2560143B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6月</w:t>
            </w:r>
          </w:p>
        </w:tc>
        <w:tc>
          <w:tcPr>
            <w:tcW w:w="450" w:type="dxa"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6E4698FE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7月</w:t>
            </w:r>
          </w:p>
        </w:tc>
        <w:tc>
          <w:tcPr>
            <w:tcW w:w="450" w:type="dxa"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7BEFD542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8月</w:t>
            </w:r>
          </w:p>
        </w:tc>
        <w:tc>
          <w:tcPr>
            <w:tcW w:w="450" w:type="dxa"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46EE7475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9月</w:t>
            </w:r>
          </w:p>
        </w:tc>
        <w:tc>
          <w:tcPr>
            <w:tcW w:w="450" w:type="dxa"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6C528C5A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10月</w:t>
            </w:r>
          </w:p>
        </w:tc>
        <w:tc>
          <w:tcPr>
            <w:tcW w:w="450" w:type="dxa"/>
            <w:tcBorders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2B304C8A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11月</w:t>
            </w:r>
          </w:p>
        </w:tc>
        <w:tc>
          <w:tcPr>
            <w:tcW w:w="450" w:type="dxa"/>
            <w:tcBorders>
              <w:left w:val="single" w:color="000000" w:sz="6" w:space="0"/>
              <w:bottom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6BB48B90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12月</w:t>
            </w:r>
          </w:p>
        </w:tc>
      </w:tr>
      <w:tr w14:paraId="45322AED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c>
          <w:tcPr>
            <w:tcW w:w="840" w:type="dxa"/>
            <w:tcBorders>
              <w:top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6E298883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降水量（毫米）</w:t>
            </w:r>
          </w:p>
        </w:tc>
        <w:tc>
          <w:tcPr>
            <w:tcW w:w="450" w:type="dxa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29D6AF04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26</w:t>
            </w:r>
          </w:p>
        </w:tc>
        <w:tc>
          <w:tcPr>
            <w:tcW w:w="450" w:type="dxa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36E12BA4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12</w:t>
            </w:r>
          </w:p>
        </w:tc>
        <w:tc>
          <w:tcPr>
            <w:tcW w:w="450" w:type="dxa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1B1EF293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58</w:t>
            </w:r>
          </w:p>
        </w:tc>
        <w:tc>
          <w:tcPr>
            <w:tcW w:w="450" w:type="dxa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0E5A7F0F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100</w:t>
            </w:r>
          </w:p>
        </w:tc>
        <w:tc>
          <w:tcPr>
            <w:tcW w:w="450" w:type="dxa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3FC3F098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112</w:t>
            </w:r>
          </w:p>
        </w:tc>
        <w:tc>
          <w:tcPr>
            <w:tcW w:w="450" w:type="dxa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6B86DC96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177</w:t>
            </w:r>
          </w:p>
        </w:tc>
        <w:tc>
          <w:tcPr>
            <w:tcW w:w="450" w:type="dxa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26D31806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196</w:t>
            </w:r>
          </w:p>
        </w:tc>
        <w:tc>
          <w:tcPr>
            <w:tcW w:w="450" w:type="dxa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150C0EF6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172</w:t>
            </w:r>
          </w:p>
        </w:tc>
        <w:tc>
          <w:tcPr>
            <w:tcW w:w="450" w:type="dxa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2B5FD386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249</w:t>
            </w:r>
          </w:p>
        </w:tc>
        <w:tc>
          <w:tcPr>
            <w:tcW w:w="450" w:type="dxa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065F8BFB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319</w:t>
            </w:r>
          </w:p>
        </w:tc>
        <w:tc>
          <w:tcPr>
            <w:tcW w:w="450" w:type="dxa"/>
            <w:tcBorders>
              <w:top w:val="single" w:color="000000" w:sz="6" w:space="0"/>
              <w:left w:val="single" w:color="000000" w:sz="6" w:space="0"/>
              <w:righ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6B231A0A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135</w:t>
            </w:r>
          </w:p>
        </w:tc>
        <w:tc>
          <w:tcPr>
            <w:tcW w:w="450" w:type="dxa"/>
            <w:tcBorders>
              <w:top w:val="single" w:color="000000" w:sz="6" w:space="0"/>
              <w:left w:val="single" w:color="000000" w:sz="6" w:space="0"/>
            </w:tcBorders>
            <w:noWrap w:val="0"/>
            <w:tcMar>
              <w:top w:w="76" w:type="dxa"/>
              <w:left w:w="120" w:type="dxa"/>
              <w:bottom w:w="76" w:type="dxa"/>
              <w:right w:w="120" w:type="dxa"/>
            </w:tcMar>
            <w:vAlign w:val="center"/>
          </w:tcPr>
          <w:p w14:paraId="24F2BDF8">
            <w:pPr>
              <w:widowControl w:val="0"/>
              <w:spacing w:before="0" w:after="0" w:line="360" w:lineRule="auto"/>
              <w:jc w:val="center"/>
              <w:rPr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</w:pPr>
            <w:r>
              <w:rPr>
                <w:rFonts w:ascii="楷体" w:hAnsi="楷体" w:eastAsia="楷体" w:cs="楷体"/>
                <w:b w:val="0"/>
                <w:bCs w:val="0"/>
                <w:i w:val="0"/>
                <w:iCs w:val="0"/>
                <w:smallCaps w:val="0"/>
                <w:color w:val="000000"/>
                <w:sz w:val="21"/>
                <w:szCs w:val="21"/>
              </w:rPr>
              <w:t>80</w:t>
            </w:r>
          </w:p>
        </w:tc>
      </w:tr>
    </w:tbl>
    <w:p w14:paraId="2E824758">
      <w:pPr>
        <w:widowControl w:val="0"/>
        <w:spacing w:before="0" w:after="0" w:line="360" w:lineRule="auto"/>
        <w:rPr>
          <w:sz w:val="21"/>
          <w:szCs w:val="21"/>
        </w:rPr>
      </w:pPr>
    </w:p>
    <w:p w14:paraId="479629BC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（</w:t>
      </w:r>
      <w:r>
        <w:rPr>
          <w:sz w:val="21"/>
          <w:szCs w:val="21"/>
        </w:rPr>
        <w:t>1</w:t>
      </w:r>
      <w:r>
        <w:rPr>
          <w:rFonts w:ascii="宋体" w:hAnsi="宋体" w:eastAsia="宋体" w:cs="宋体"/>
          <w:sz w:val="21"/>
          <w:szCs w:val="21"/>
        </w:rPr>
        <w:t>）据图可知，柬埔寨的首都是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。下图示意柬埔寨首都降水量柱状图，根据资料在答题卡中完善此图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。</w:t>
      </w:r>
    </w:p>
    <w:p w14:paraId="6B1AC580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2800350" cy="1971675"/>
            <wp:effectExtent l="0" t="0" r="0" b="9525"/>
            <wp:docPr id="100181" name="图片 10018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1" name="图片 10018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A217B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水之惠</w:t>
      </w:r>
    </w:p>
    <w:p w14:paraId="27BAB209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湄公河水量丰富，塑造了湄公河平原，为沿岸提供灌溉、航运之利。</w:t>
      </w:r>
    </w:p>
    <w:p w14:paraId="234C5462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（</w:t>
      </w:r>
      <w:r>
        <w:rPr>
          <w:sz w:val="21"/>
          <w:szCs w:val="21"/>
        </w:rPr>
        <w:t>2</w:t>
      </w:r>
      <w:r>
        <w:rPr>
          <w:rFonts w:ascii="宋体" w:hAnsi="宋体" w:eastAsia="宋体" w:cs="宋体"/>
          <w:sz w:val="21"/>
          <w:szCs w:val="21"/>
        </w:rPr>
        <w:t>）就流量大小而言，乙水文站观测到的流量比甲水文站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。结合所学知识及图文信息，推断湄公河在柬埔寨发展中的作用有</w:t>
      </w:r>
      <w:r>
        <w:rPr>
          <w:sz w:val="21"/>
          <w:szCs w:val="21"/>
        </w:rPr>
        <w:t>________</w:t>
      </w:r>
      <w:r>
        <w:rPr>
          <w:rFonts w:ascii="宋体" w:hAnsi="宋体" w:eastAsia="宋体" w:cs="宋体"/>
          <w:sz w:val="21"/>
          <w:szCs w:val="21"/>
        </w:rPr>
        <w:t>。</w:t>
      </w:r>
    </w:p>
    <w:p w14:paraId="2B444ABB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水之患</w:t>
      </w:r>
    </w:p>
    <w:p w14:paraId="5877809B">
      <w:pPr>
        <w:widowControl w:val="0"/>
        <w:spacing w:before="0" w:after="0" w:line="360" w:lineRule="auto"/>
        <w:ind w:firstLine="420"/>
        <w:rPr>
          <w:sz w:val="21"/>
          <w:szCs w:val="21"/>
        </w:rPr>
      </w:pPr>
      <w:r>
        <w:rPr>
          <w:rFonts w:ascii="楷体" w:hAnsi="楷体" w:eastAsia="楷体" w:cs="楷体"/>
          <w:sz w:val="21"/>
          <w:szCs w:val="21"/>
        </w:rPr>
        <w:t>下图示意柬埔寨首都多年的年降水量统计。</w:t>
      </w:r>
    </w:p>
    <w:p w14:paraId="350DA29F">
      <w:pPr>
        <w:widowControl w:val="0"/>
        <w:spacing w:before="0" w:after="0" w:line="360" w:lineRule="auto"/>
        <w:rPr>
          <w:sz w:val="21"/>
          <w:szCs w:val="21"/>
        </w:rPr>
      </w:pP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3590925" cy="1571625"/>
            <wp:effectExtent l="0" t="0" r="9525" b="9525"/>
            <wp:docPr id="100183" name="图片 10018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3" name="图片 10018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F9295">
      <w:pPr>
        <w:widowControl w:val="0"/>
        <w:spacing w:before="0" w:after="0" w:line="360" w:lineRule="auto"/>
        <w:rPr>
          <w:sz w:val="21"/>
          <w:szCs w:val="21"/>
        </w:rPr>
      </w:pPr>
      <w:r>
        <w:rPr>
          <w:rFonts w:ascii="宋体" w:hAnsi="宋体" w:eastAsia="宋体" w:cs="宋体"/>
          <w:sz w:val="21"/>
          <w:szCs w:val="21"/>
        </w:rPr>
        <w:t>（</w:t>
      </w:r>
      <w:r>
        <w:rPr>
          <w:sz w:val="21"/>
          <w:szCs w:val="21"/>
        </w:rPr>
        <w:t>3</w:t>
      </w:r>
      <w:r>
        <w:rPr>
          <w:rFonts w:ascii="宋体" w:hAnsi="宋体" w:eastAsia="宋体" w:cs="宋体"/>
          <w:sz w:val="21"/>
          <w:szCs w:val="21"/>
        </w:rPr>
        <w:t>）从降水的时间分配角度，简析柬埔寨干旱、洪涝灾害频发的原因。</w:t>
      </w:r>
      <w:r>
        <w:rPr>
          <w:strike w:val="0"/>
          <w:sz w:val="21"/>
          <w:szCs w:val="21"/>
          <w:u w:val="none"/>
        </w:rPr>
        <w:drawing>
          <wp:inline distT="0" distB="0" distL="114300" distR="114300">
            <wp:extent cx="28575" cy="28575"/>
            <wp:effectExtent l="0" t="0" r="0" b="0"/>
            <wp:docPr id="100185" name="图片 100185" descr="page number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5" name="图片 100185" descr="page number 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57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AF61F"/>
    <w:sectPr>
      <w:headerReference r:id="rId17" w:type="default"/>
      <w:type w:val="continuous"/>
      <w:pgSz w:w="11927" w:h="16875"/>
      <w:pgMar w:top="800" w:right="1120" w:bottom="540" w:left="112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0D3FD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6F5A2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2A433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F09284">
    <w:pPr>
      <w:pStyle w:val="3"/>
      <w:pBdr>
        <w:bottom w:val="none" w:color="auto" w:sz="0" w:space="1"/>
      </w:pBdr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E813D5">
    <w:pPr>
      <w:pStyle w:val="3"/>
      <w:pBdr>
        <w:bottom w:val="none" w:color="auto" w:sz="0" w:space="1"/>
      </w:pBdr>
      <w:rPr>
        <w:rFonts w:hint="eastAsia"/>
        <w:lang w:eastAsia="zh-CN"/>
      </w:rPr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786329">
    <w:pPr>
      <w:pStyle w:val="3"/>
      <w:pBdr>
        <w:bottom w:val="none" w:color="auto" w:sz="0" w:space="1"/>
      </w:pBdr>
      <w:rPr>
        <w:rFonts w:hint="eastAsia"/>
        <w:lang w:eastAsia="zh-CN"/>
      </w:rPr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CB25BF">
    <w:pPr>
      <w:pStyle w:val="3"/>
      <w:pBdr>
        <w:bottom w:val="none" w:color="auto" w:sz="0" w:space="1"/>
      </w:pBdr>
      <w:rPr>
        <w:rFonts w:hint="eastAsia"/>
        <w:lang w:eastAsia="zh-CN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93C5C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0FE097">
    <w:pPr>
      <w:pStyle w:val="3"/>
      <w:pBdr>
        <w:bottom w:val="none" w:color="auto" w:sz="0" w:space="1"/>
      </w:pBd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09104D">
    <w:pPr>
      <w:pStyle w:val="3"/>
      <w:pBdr>
        <w:bottom w:val="none" w:color="auto" w:sz="0" w:space="1"/>
      </w:pBdr>
      <w:rPr>
        <w:rFonts w:hint="eastAsia"/>
        <w:lang w:eastAsia="zh-CN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DF3619C">
    <w:pPr>
      <w:pStyle w:val="3"/>
      <w:pBdr>
        <w:bottom w:val="none" w:color="auto" w:sz="0" w:space="1"/>
      </w:pBdr>
      <w:rPr>
        <w:rFonts w:hint="eastAsia"/>
        <w:lang w:eastAsia="zh-CN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9CC9F8">
    <w:pPr>
      <w:pStyle w:val="3"/>
      <w:pBdr>
        <w:bottom w:val="none" w:color="auto" w:sz="0" w:space="1"/>
      </w:pBdr>
      <w:rPr>
        <w:rFonts w:hint="eastAsia"/>
        <w:lang w:eastAsia="zh-CN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D8D22A">
    <w:pPr>
      <w:pStyle w:val="3"/>
      <w:pBdr>
        <w:bottom w:val="none" w:color="auto" w:sz="0" w:space="1"/>
      </w:pBdr>
      <w:rPr>
        <w:rFonts w:hint="eastAsia"/>
        <w:lang w:eastAsia="zh-CN"/>
      </w:rPr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6C0349">
    <w:pPr>
      <w:pStyle w:val="3"/>
      <w:pBdr>
        <w:bottom w:val="none" w:color="auto" w:sz="0" w:space="1"/>
      </w:pBdr>
      <w:rPr>
        <w:rFonts w:hint="eastAsia"/>
        <w:lang w:eastAsia="zh-CN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8B0337">
    <w:pPr>
      <w:pStyle w:val="3"/>
      <w:pBdr>
        <w:bottom w:val="none" w:color="auto" w:sz="0" w:space="1"/>
      </w:pBdr>
      <w:rPr>
        <w:rFonts w:hint="eastAsia"/>
        <w:lang w:eastAsia="zh-CN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20"/>
  <w:noPunctuationKerning w:val="1"/>
  <w:characterSpacingControl w:val="doNotCompress"/>
  <w:compat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A77B3E"/>
    <w:rsid w:val="00A77B3E"/>
    <w:rsid w:val="00CA2A55"/>
    <w:rsid w:val="0C4C7421"/>
    <w:rsid w:val="424E5544"/>
    <w:rsid w:val="5D33630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Times New Roman" w:cs="Times New Roman"/>
      <w:sz w:val="24"/>
      <w:szCs w:val="24"/>
      <w:lang w:val="en-US" w:eastAsia="en-US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4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2" Type="http://schemas.openxmlformats.org/officeDocument/2006/relationships/fontTable" Target="fontTable.xml"/><Relationship Id="rId41" Type="http://schemas.openxmlformats.org/officeDocument/2006/relationships/image" Target="media/image23.png"/><Relationship Id="rId40" Type="http://schemas.openxmlformats.org/officeDocument/2006/relationships/image" Target="media/image22.png"/><Relationship Id="rId4" Type="http://schemas.openxmlformats.org/officeDocument/2006/relationships/header" Target="header2.xml"/><Relationship Id="rId39" Type="http://schemas.openxmlformats.org/officeDocument/2006/relationships/image" Target="media/image21.png"/><Relationship Id="rId38" Type="http://schemas.openxmlformats.org/officeDocument/2006/relationships/image" Target="media/image20.png"/><Relationship Id="rId37" Type="http://schemas.openxmlformats.org/officeDocument/2006/relationships/image" Target="media/image19.png"/><Relationship Id="rId36" Type="http://schemas.openxmlformats.org/officeDocument/2006/relationships/image" Target="media/image18.png"/><Relationship Id="rId35" Type="http://schemas.openxmlformats.org/officeDocument/2006/relationships/image" Target="media/image17.png"/><Relationship Id="rId34" Type="http://schemas.openxmlformats.org/officeDocument/2006/relationships/image" Target="media/image16.png"/><Relationship Id="rId33" Type="http://schemas.openxmlformats.org/officeDocument/2006/relationships/image" Target="media/image15.png"/><Relationship Id="rId32" Type="http://schemas.openxmlformats.org/officeDocument/2006/relationships/image" Target="media/image14.png"/><Relationship Id="rId31" Type="http://schemas.openxmlformats.org/officeDocument/2006/relationships/image" Target="media/image13.png"/><Relationship Id="rId30" Type="http://schemas.openxmlformats.org/officeDocument/2006/relationships/image" Target="media/image12.png"/><Relationship Id="rId3" Type="http://schemas.openxmlformats.org/officeDocument/2006/relationships/header" Target="header1.xml"/><Relationship Id="rId29" Type="http://schemas.openxmlformats.org/officeDocument/2006/relationships/image" Target="media/image11.png"/><Relationship Id="rId28" Type="http://schemas.openxmlformats.org/officeDocument/2006/relationships/image" Target="media/image10.png"/><Relationship Id="rId27" Type="http://schemas.openxmlformats.org/officeDocument/2006/relationships/image" Target="media/image9.png"/><Relationship Id="rId26" Type="http://schemas.openxmlformats.org/officeDocument/2006/relationships/image" Target="media/image8.png"/><Relationship Id="rId25" Type="http://schemas.openxmlformats.org/officeDocument/2006/relationships/image" Target="media/image7.png"/><Relationship Id="rId24" Type="http://schemas.openxmlformats.org/officeDocument/2006/relationships/image" Target="media/image6.png"/><Relationship Id="rId23" Type="http://schemas.openxmlformats.org/officeDocument/2006/relationships/image" Target="media/image5.png"/><Relationship Id="rId22" Type="http://schemas.openxmlformats.org/officeDocument/2006/relationships/image" Target="media/image4.png"/><Relationship Id="rId21" Type="http://schemas.openxmlformats.org/officeDocument/2006/relationships/image" Target="media/image3.png"/><Relationship Id="rId20" Type="http://schemas.openxmlformats.org/officeDocument/2006/relationships/image" Target="media/image2.png"/><Relationship Id="rId2" Type="http://schemas.openxmlformats.org/officeDocument/2006/relationships/settings" Target="settings.xml"/><Relationship Id="rId19" Type="http://schemas.openxmlformats.org/officeDocument/2006/relationships/image" Target="media/image1.png"/><Relationship Id="rId18" Type="http://schemas.openxmlformats.org/officeDocument/2006/relationships/theme" Target="theme/theme1.xml"/><Relationship Id="rId17" Type="http://schemas.openxmlformats.org/officeDocument/2006/relationships/header" Target="header12.xml"/><Relationship Id="rId16" Type="http://schemas.openxmlformats.org/officeDocument/2006/relationships/header" Target="header11.xml"/><Relationship Id="rId15" Type="http://schemas.openxmlformats.org/officeDocument/2006/relationships/header" Target="header10.xml"/><Relationship Id="rId14" Type="http://schemas.openxmlformats.org/officeDocument/2006/relationships/header" Target="header9.xml"/><Relationship Id="rId13" Type="http://schemas.openxmlformats.org/officeDocument/2006/relationships/header" Target="header8.xml"/><Relationship Id="rId12" Type="http://schemas.openxmlformats.org/officeDocument/2006/relationships/header" Target="header7.xml"/><Relationship Id="rId11" Type="http://schemas.openxmlformats.org/officeDocument/2006/relationships/header" Target="header6.xml"/><Relationship Id="rId10" Type="http://schemas.openxmlformats.org/officeDocument/2006/relationships/header" Target="header5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Pages>9</Pages>
  <Words>3456</Words>
  <Characters>3838</Characters>
  <Lines>1</Lines>
  <Paragraphs>1</Paragraphs>
  <TotalTime>0</TotalTime>
  <ScaleCrop>false</ScaleCrop>
  <LinksUpToDate>false</LinksUpToDate>
  <CharactersWithSpaces>4114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2024-06-22T15:01:00Z</dcterms:created>
  <dc:creator>Administrator</dc:creator>
  <cp:lastModifiedBy>上帝掷骰子吗</cp:lastModifiedBy>
  <dcterms:modified xsi:type="dcterms:W3CDTF">2026-02-09T06:10:39Z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ED6F836DE8CF42A1A51DAA6647C36D6F_12</vt:lpwstr>
  </property>
  <property fmtid="{D5CDD505-2E9C-101B-9397-08002B2CF9AE}" pid="4" name="KSOTemplateDocerSaveRecord">
    <vt:lpwstr>eyJoZGlkIjoiMjljNjk0N2RhMTc0NzI3ZTQwZWEyZWMyMzA2NzliMDQiLCJ1c2VySWQiOiI3ODUwOTA2ODcifQ==</vt:lpwstr>
  </property>
</Properties>
</file>