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C3053D4">
      <w:pPr>
        <w:spacing w:line="360" w:lineRule="auto"/>
        <w:jc w:val="center"/>
      </w:pPr>
      <w:bookmarkStart w:id="0" w:name="_GoBack"/>
      <w:bookmarkEnd w:id="0"/>
      <w:r>
        <w:rPr>
          <w:rFonts w:ascii="宋体" w:hAnsi="宋体" w:eastAsia="宋体" w:cs="宋体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10934700</wp:posOffset>
            </wp:positionH>
            <wp:positionV relativeFrom="topMargin">
              <wp:posOffset>11772900</wp:posOffset>
            </wp:positionV>
            <wp:extent cx="355600" cy="355600"/>
            <wp:effectExtent l="0" t="0" r="6350" b="6350"/>
            <wp:wrapNone/>
            <wp:docPr id="100027" name="图片 1000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7" name="图片 10002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55600" cy="355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b/>
          <w:color w:val="auto"/>
          <w:sz w:val="32"/>
        </w:rPr>
        <w:t>地理试题</w:t>
      </w:r>
    </w:p>
    <w:p w14:paraId="3CBD5630">
      <w:pPr>
        <w:spacing w:line="360" w:lineRule="auto"/>
        <w:jc w:val="center"/>
      </w:pPr>
      <w:r>
        <w:rPr>
          <w:rFonts w:ascii="宋体" w:hAnsi="宋体" w:eastAsia="宋体" w:cs="宋体"/>
          <w:b/>
          <w:color w:val="auto"/>
          <w:sz w:val="24"/>
        </w:rPr>
        <w:t>（共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30</w:t>
      </w:r>
      <w:r>
        <w:rPr>
          <w:rFonts w:ascii="宋体" w:hAnsi="宋体" w:eastAsia="宋体" w:cs="宋体"/>
          <w:b/>
          <w:color w:val="auto"/>
          <w:sz w:val="24"/>
        </w:rPr>
        <w:t>分）</w:t>
      </w:r>
    </w:p>
    <w:p w14:paraId="27CB0CFF">
      <w:pPr>
        <w:spacing w:line="360" w:lineRule="auto"/>
        <w:jc w:val="both"/>
      </w:pPr>
      <w:r>
        <w:rPr>
          <w:rFonts w:ascii="宋体" w:hAnsi="宋体" w:eastAsia="宋体" w:cs="宋体"/>
          <w:b/>
          <w:color w:val="auto"/>
          <w:sz w:val="24"/>
        </w:rPr>
        <w:t>三、选择题：请在下列每题的四个选项中选出最符合题意的一项（每题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</w:t>
      </w:r>
      <w:r>
        <w:rPr>
          <w:rFonts w:ascii="宋体" w:hAnsi="宋体" w:eastAsia="宋体" w:cs="宋体"/>
          <w:b/>
          <w:color w:val="auto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13</w:t>
      </w:r>
      <w:r>
        <w:rPr>
          <w:rFonts w:ascii="宋体" w:hAnsi="宋体" w:eastAsia="宋体" w:cs="宋体"/>
          <w:b/>
          <w:color w:val="auto"/>
          <w:sz w:val="24"/>
        </w:rPr>
        <w:t>分）。</w:t>
      </w:r>
    </w:p>
    <w:p w14:paraId="7E883B79">
      <w:pPr>
        <w:spacing w:line="360" w:lineRule="auto"/>
        <w:ind w:firstLine="420"/>
        <w:jc w:val="both"/>
      </w:pPr>
      <w:r>
        <w:rPr>
          <w:rFonts w:ascii="楷体" w:hAnsi="楷体" w:eastAsia="楷体" w:cs="楷体"/>
          <w:color w:val="auto"/>
        </w:rPr>
        <w:t>某学习小组用地球仪演示地球的公转。下图为地球公转演示示意图，图中甲、乙、丙、丁表示二分二至四个节气地球在公转轨道上的位置。据此完成下面小题。</w:t>
      </w:r>
    </w:p>
    <w:p w14:paraId="0B9A327A">
      <w:pPr>
        <w:spacing w:line="360" w:lineRule="auto"/>
        <w:jc w:val="both"/>
      </w:pPr>
      <w:r>
        <w:drawing>
          <wp:inline distT="0" distB="0" distL="114300" distR="114300">
            <wp:extent cx="2647950" cy="1809750"/>
            <wp:effectExtent l="0" t="0" r="0" b="0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647950" cy="1809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D6CB9CA">
      <w:pPr>
        <w:spacing w:line="360" w:lineRule="auto"/>
        <w:jc w:val="left"/>
      </w:pPr>
      <w:r>
        <w:rPr>
          <w:color w:val="auto"/>
        </w:rPr>
        <w:t xml:space="preserve">1. </w:t>
      </w:r>
      <w:r>
        <w:rPr>
          <w:rFonts w:ascii="宋体" w:hAnsi="宋体" w:eastAsia="宋体" w:cs="宋体"/>
          <w:color w:val="auto"/>
        </w:rPr>
        <w:t>模拟夏至时太阳照射地球情况，地球仪的摆放位置是（</w:t>
      </w:r>
      <w:r>
        <w:rPr>
          <w:rFonts w:ascii="Times New Roman" w:hAnsi="Times New Roman" w:eastAsia="Times New Roman" w:cs="Times New Roman"/>
          <w:color w:val="auto"/>
        </w:rPr>
        <w:t xml:space="preserve">   </w:t>
      </w:r>
      <w:r>
        <w:rPr>
          <w:rFonts w:ascii="宋体" w:hAnsi="宋体" w:eastAsia="宋体" w:cs="宋体"/>
          <w:color w:val="auto"/>
        </w:rPr>
        <w:t>）</w:t>
      </w:r>
    </w:p>
    <w:p w14:paraId="7962E0BE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auto"/>
        </w:rPr>
      </w:pPr>
      <w:r>
        <w:t xml:space="preserve">A. </w:t>
      </w:r>
      <w:r>
        <w:rPr>
          <w:rFonts w:ascii="宋体" w:hAnsi="宋体" w:eastAsia="宋体" w:cs="宋体"/>
          <w:color w:val="auto"/>
        </w:rPr>
        <w:t>甲处</w:t>
      </w:r>
      <w:r>
        <w:tab/>
      </w:r>
      <w:r>
        <w:t xml:space="preserve">B. </w:t>
      </w:r>
      <w:r>
        <w:rPr>
          <w:rFonts w:ascii="宋体" w:hAnsi="宋体" w:eastAsia="宋体" w:cs="宋体"/>
          <w:color w:val="auto"/>
        </w:rPr>
        <w:t>乙处</w:t>
      </w:r>
      <w:r>
        <w:tab/>
      </w:r>
      <w:r>
        <w:t xml:space="preserve">C. </w:t>
      </w:r>
      <w:r>
        <w:rPr>
          <w:rFonts w:ascii="宋体" w:hAnsi="宋体" w:eastAsia="宋体" w:cs="宋体"/>
          <w:color w:val="auto"/>
        </w:rPr>
        <w:t>丙处</w:t>
      </w:r>
      <w:r>
        <w:tab/>
      </w:r>
      <w:r>
        <w:t xml:space="preserve">D. </w:t>
      </w:r>
      <w:r>
        <w:rPr>
          <w:rFonts w:ascii="宋体" w:hAnsi="宋体" w:eastAsia="宋体" w:cs="宋体"/>
          <w:color w:val="auto"/>
        </w:rPr>
        <w:t>丁处</w:t>
      </w:r>
    </w:p>
    <w:p w14:paraId="06E1E038">
      <w:pPr>
        <w:spacing w:line="360" w:lineRule="auto"/>
        <w:jc w:val="left"/>
      </w:pPr>
      <w:r>
        <w:rPr>
          <w:color w:val="auto"/>
        </w:rPr>
        <w:t xml:space="preserve">2. </w:t>
      </w:r>
      <w:r>
        <w:rPr>
          <w:rFonts w:ascii="宋体" w:hAnsi="宋体" w:eastAsia="宋体" w:cs="宋体"/>
          <w:color w:val="auto"/>
        </w:rPr>
        <w:t>模拟连云港</w:t>
      </w:r>
      <w:r>
        <w:rPr>
          <w:rFonts w:ascii="Times New Roman" w:hAnsi="Times New Roman" w:eastAsia="Times New Roman" w:cs="Times New Roman"/>
          <w:color w:val="auto"/>
        </w:rPr>
        <w:t>5</w:t>
      </w:r>
      <w:r>
        <w:rPr>
          <w:rFonts w:ascii="宋体" w:hAnsi="宋体" w:eastAsia="宋体" w:cs="宋体"/>
          <w:color w:val="auto"/>
        </w:rPr>
        <w:t>月</w:t>
      </w:r>
      <w:r>
        <w:rPr>
          <w:rFonts w:ascii="Times New Roman" w:hAnsi="Times New Roman" w:eastAsia="Times New Roman" w:cs="Times New Roman"/>
          <w:color w:val="auto"/>
        </w:rPr>
        <w:t>1</w:t>
      </w:r>
      <w:r>
        <w:rPr>
          <w:rFonts w:ascii="宋体" w:hAnsi="宋体" w:eastAsia="宋体" w:cs="宋体"/>
          <w:color w:val="auto"/>
        </w:rPr>
        <w:t>日昼夜长短情况，地球仪应摆放在（</w:t>
      </w:r>
      <w:r>
        <w:rPr>
          <w:rFonts w:ascii="Times New Roman" w:hAnsi="Times New Roman" w:eastAsia="Times New Roman" w:cs="Times New Roman"/>
          <w:color w:val="auto"/>
        </w:rPr>
        <w:t xml:space="preserve">   </w:t>
      </w:r>
      <w:r>
        <w:rPr>
          <w:rFonts w:ascii="宋体" w:hAnsi="宋体" w:eastAsia="宋体" w:cs="宋体"/>
          <w:color w:val="auto"/>
        </w:rPr>
        <w:t>）</w:t>
      </w:r>
    </w:p>
    <w:p w14:paraId="4F5FBFE9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t xml:space="preserve">A. </w:t>
      </w:r>
      <w:r>
        <w:rPr>
          <w:rFonts w:ascii="宋体" w:hAnsi="宋体" w:eastAsia="宋体" w:cs="宋体"/>
          <w:color w:val="auto"/>
        </w:rPr>
        <w:t>甲乙之间</w:t>
      </w:r>
      <w:r>
        <w:tab/>
      </w:r>
      <w:r>
        <w:t xml:space="preserve">B. </w:t>
      </w:r>
      <w:r>
        <w:rPr>
          <w:rFonts w:ascii="宋体" w:hAnsi="宋体" w:eastAsia="宋体" w:cs="宋体"/>
          <w:color w:val="auto"/>
        </w:rPr>
        <w:t>乙丙之间</w:t>
      </w:r>
      <w:r>
        <w:tab/>
      </w:r>
      <w:r>
        <w:t xml:space="preserve">C. </w:t>
      </w:r>
      <w:r>
        <w:rPr>
          <w:rFonts w:ascii="宋体" w:hAnsi="宋体" w:eastAsia="宋体" w:cs="宋体"/>
          <w:color w:val="auto"/>
        </w:rPr>
        <w:t>丙丁之间</w:t>
      </w:r>
      <w:r>
        <w:tab/>
      </w:r>
      <w:r>
        <w:t xml:space="preserve">D. </w:t>
      </w:r>
      <w:r>
        <w:rPr>
          <w:rFonts w:ascii="宋体" w:hAnsi="宋体" w:eastAsia="宋体" w:cs="宋体"/>
          <w:color w:val="auto"/>
        </w:rPr>
        <w:t>丁甲之间</w:t>
      </w:r>
    </w:p>
    <w:p w14:paraId="4A9FD399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某校组织学生到附近山区进行地理研学，依次安排了</w:t>
      </w:r>
      <w:r>
        <w:rPr>
          <w:rFonts w:ascii="Times New Roman" w:hAnsi="Times New Roman" w:eastAsia="Times New Roman" w:cs="Times New Roman"/>
          <w:color w:val="000000"/>
        </w:rPr>
        <w:t>①</w:t>
      </w:r>
      <w:r>
        <w:rPr>
          <w:rFonts w:ascii="楷体" w:hAnsi="楷体" w:eastAsia="楷体" w:cs="楷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②</w:t>
      </w:r>
      <w:r>
        <w:rPr>
          <w:rFonts w:ascii="楷体" w:hAnsi="楷体" w:eastAsia="楷体" w:cs="楷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③</w:t>
      </w:r>
      <w:r>
        <w:rPr>
          <w:rFonts w:ascii="楷体" w:hAnsi="楷体" w:eastAsia="楷体" w:cs="楷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④</w:t>
      </w:r>
      <w:r>
        <w:rPr>
          <w:rFonts w:ascii="楷体" w:hAnsi="楷体" w:eastAsia="楷体" w:cs="楷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⑤</w:t>
      </w:r>
      <w:r>
        <w:rPr>
          <w:rFonts w:ascii="楷体" w:hAnsi="楷体" w:eastAsia="楷体" w:cs="楷体"/>
          <w:color w:val="000000"/>
        </w:rPr>
        <w:t>五处考察点。下图为该次考察线路示意图。据此完成下面小题。</w:t>
      </w:r>
    </w:p>
    <w:p w14:paraId="62F880D9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228975" cy="1800225"/>
            <wp:effectExtent l="0" t="0" r="9525" b="9525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228975" cy="1800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E49689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坡度最陡的路段是（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756C42C5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100029" name="图片 1000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9" name="图片 100029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Times New Roman" w:hAnsi="Times New Roman" w:eastAsia="Times New Roman" w:cs="Times New Roman"/>
          <w:color w:val="000000"/>
        </w:rPr>
        <w:t>①</w:t>
      </w:r>
      <w:r>
        <w:rPr>
          <w:rFonts w:ascii="宋体" w:hAnsi="宋体" w:eastAsia="宋体" w:cs="宋体"/>
          <w:color w:val="000000"/>
        </w:rPr>
        <w:t>至</w:t>
      </w:r>
      <w:r>
        <w:rPr>
          <w:rFonts w:ascii="Times New Roman" w:hAnsi="Times New Roman" w:eastAsia="Times New Roman" w:cs="Times New Roman"/>
          <w:color w:val="000000"/>
        </w:rPr>
        <w:t>②</w:t>
      </w:r>
      <w:r>
        <w:rPr>
          <w:rFonts w:ascii="宋体" w:hAnsi="宋体" w:eastAsia="宋体" w:cs="宋体"/>
          <w:color w:val="000000"/>
        </w:rPr>
        <w:t>段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②</w:t>
      </w:r>
      <w:r>
        <w:rPr>
          <w:rFonts w:ascii="宋体" w:hAnsi="宋体" w:eastAsia="宋体" w:cs="宋体"/>
          <w:color w:val="000000"/>
        </w:rPr>
        <w:t>至</w:t>
      </w:r>
      <w:r>
        <w:rPr>
          <w:rFonts w:ascii="Times New Roman" w:hAnsi="Times New Roman" w:eastAsia="Times New Roman" w:cs="Times New Roman"/>
          <w:color w:val="000000"/>
        </w:rPr>
        <w:t>③</w:t>
      </w:r>
      <w:r>
        <w:rPr>
          <w:rFonts w:ascii="宋体" w:hAnsi="宋体" w:eastAsia="宋体" w:cs="宋体"/>
          <w:color w:val="000000"/>
        </w:rPr>
        <w:t>段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③</w:t>
      </w:r>
      <w:r>
        <w:rPr>
          <w:rFonts w:ascii="宋体" w:hAnsi="宋体" w:eastAsia="宋体" w:cs="宋体"/>
          <w:color w:val="000000"/>
        </w:rPr>
        <w:t>至</w:t>
      </w:r>
      <w:r>
        <w:rPr>
          <w:rFonts w:ascii="Times New Roman" w:hAnsi="Times New Roman" w:eastAsia="Times New Roman" w:cs="Times New Roman"/>
          <w:color w:val="000000"/>
        </w:rPr>
        <w:t>④</w:t>
      </w:r>
      <w:r>
        <w:rPr>
          <w:rFonts w:ascii="宋体" w:hAnsi="宋体" w:eastAsia="宋体" w:cs="宋体"/>
          <w:color w:val="000000"/>
        </w:rPr>
        <w:t>段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④</w:t>
      </w:r>
      <w:r>
        <w:rPr>
          <w:rFonts w:ascii="宋体" w:hAnsi="宋体" w:eastAsia="宋体" w:cs="宋体"/>
          <w:color w:val="000000"/>
        </w:rPr>
        <w:t>至</w:t>
      </w:r>
      <w:r>
        <w:rPr>
          <w:rFonts w:ascii="Times New Roman" w:hAnsi="Times New Roman" w:eastAsia="Times New Roman" w:cs="Times New Roman"/>
          <w:color w:val="000000"/>
        </w:rPr>
        <w:t>⑤</w:t>
      </w:r>
      <w:r>
        <w:rPr>
          <w:rFonts w:ascii="宋体" w:hAnsi="宋体" w:eastAsia="宋体" w:cs="宋体"/>
          <w:color w:val="000000"/>
        </w:rPr>
        <w:t>段</w:t>
      </w:r>
    </w:p>
    <w:p w14:paraId="4A65529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Times New Roman" w:hAnsi="Times New Roman" w:eastAsia="Times New Roman" w:cs="Times New Roman"/>
          <w:color w:val="000000"/>
        </w:rPr>
        <w:t>①</w:t>
      </w:r>
      <w:r>
        <w:rPr>
          <w:rFonts w:ascii="宋体" w:hAnsi="宋体" w:eastAsia="宋体" w:cs="宋体"/>
          <w:color w:val="000000"/>
        </w:rPr>
        <w:t>至</w:t>
      </w:r>
      <w:r>
        <w:rPr>
          <w:rFonts w:ascii="Times New Roman" w:hAnsi="Times New Roman" w:eastAsia="Times New Roman" w:cs="Times New Roman"/>
          <w:color w:val="000000"/>
        </w:rPr>
        <w:t>②</w:t>
      </w:r>
      <w:r>
        <w:rPr>
          <w:rFonts w:ascii="宋体" w:hAnsi="宋体" w:eastAsia="宋体" w:cs="宋体"/>
          <w:color w:val="000000"/>
        </w:rPr>
        <w:t>段所处的地形部位是（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0A584B72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山峰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陡崖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山谷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山脊</w:t>
      </w:r>
    </w:p>
    <w:p w14:paraId="5332E4E8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北京时间</w:t>
      </w:r>
      <w:r>
        <w:rPr>
          <w:rFonts w:ascii="Times New Roman" w:hAnsi="Times New Roman" w:eastAsia="Times New Roman" w:cs="Times New Roman"/>
          <w:color w:val="000000"/>
        </w:rPr>
        <w:t>2025</w:t>
      </w:r>
      <w:r>
        <w:rPr>
          <w:rFonts w:ascii="楷体" w:hAnsi="楷体" w:eastAsia="楷体" w:cs="楷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楷体" w:hAnsi="楷体" w:eastAsia="楷体" w:cs="楷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28</w:t>
      </w:r>
      <w:r>
        <w:rPr>
          <w:rFonts w:ascii="楷体" w:hAnsi="楷体" w:eastAsia="楷体" w:cs="楷体"/>
          <w:color w:val="000000"/>
        </w:rPr>
        <w:t>日</w:t>
      </w:r>
      <w:r>
        <w:rPr>
          <w:rFonts w:ascii="Times New Roman" w:hAnsi="Times New Roman" w:eastAsia="Times New Roman" w:cs="Times New Roman"/>
          <w:color w:val="000000"/>
        </w:rPr>
        <w:t>14</w:t>
      </w:r>
      <w:r>
        <w:rPr>
          <w:rFonts w:ascii="楷体" w:hAnsi="楷体" w:eastAsia="楷体" w:cs="楷体"/>
          <w:color w:val="000000"/>
        </w:rPr>
        <w:t>时</w:t>
      </w:r>
      <w:r>
        <w:rPr>
          <w:rFonts w:ascii="Times New Roman" w:hAnsi="Times New Roman" w:eastAsia="Times New Roman" w:cs="Times New Roman"/>
          <w:color w:val="000000"/>
        </w:rPr>
        <w:t>20</w:t>
      </w:r>
      <w:r>
        <w:rPr>
          <w:rFonts w:ascii="楷体" w:hAnsi="楷体" w:eastAsia="楷体" w:cs="楷体"/>
          <w:color w:val="000000"/>
        </w:rPr>
        <w:t>分，缅甸发生</w:t>
      </w:r>
      <w:r>
        <w:rPr>
          <w:rFonts w:ascii="Times New Roman" w:hAnsi="Times New Roman" w:eastAsia="Times New Roman" w:cs="Times New Roman"/>
          <w:color w:val="000000"/>
        </w:rPr>
        <w:t>7.9</w:t>
      </w:r>
      <w:r>
        <w:rPr>
          <w:rFonts w:ascii="楷体" w:hAnsi="楷体" w:eastAsia="楷体" w:cs="楷体"/>
          <w:color w:val="000000"/>
        </w:rPr>
        <w:t>级地震。下图为此次地震震中位置及所在板块边界示意图。据此完成下面小题。</w:t>
      </w:r>
    </w:p>
    <w:p w14:paraId="32E1ABD2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371725" cy="2247900"/>
            <wp:effectExtent l="0" t="0" r="9525" b="0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371725" cy="2247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76CC60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此次地震震中大致位于（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762F81B6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22°N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color w:val="000000"/>
        </w:rPr>
        <w:t>96°W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22°N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color w:val="000000"/>
        </w:rPr>
        <w:t>96°E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22°S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color w:val="000000"/>
        </w:rPr>
        <w:t>96°W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22°S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color w:val="000000"/>
        </w:rPr>
        <w:t>96°E</w:t>
      </w:r>
    </w:p>
    <w:p w14:paraId="3ABC746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导致此次地震的原因是（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5B930134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印度洋板块与亚欧板块发生碰撞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印度洋板块与非洲板块发生张裂</w:t>
      </w:r>
    </w:p>
    <w:p w14:paraId="3D08E5B6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印度洋板块与南极洲板块发生张裂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印度洋板块与太平洋板块发生碰撞</w:t>
      </w:r>
    </w:p>
    <w:p w14:paraId="33340579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玻利维亚境内有高耸的安第斯山脉和广阔的亚马孙平原，自然地理环境差异明显。下图为玻利维亚主要城市分布图。据此完成下面小题。</w:t>
      </w:r>
    </w:p>
    <w:p w14:paraId="76DB1864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885950" cy="1971675"/>
            <wp:effectExtent l="0" t="0" r="0" b="9525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885950" cy="1971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A42385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7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100025" name="图片 1000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5" name="图片 100025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该国城市主要分布于（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78CE846A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西北部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东北部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东南部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西南部</w:t>
      </w:r>
    </w:p>
    <w:p w14:paraId="55B1F50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上述分布特点的形成是因为该地区（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04E37175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纬度较低，阳光充足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濒临海洋，交通发达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海拔较高，气候凉爽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靠近国境，便于贸易</w:t>
      </w:r>
    </w:p>
    <w:p w14:paraId="78DC5E8B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种桑养蚕活动称为桑蚕业。改革开放后，国家引导桑蚕业由浙江、江苏等传统产区向西部的广西、云南、四川、重庆等地转移，即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楷体" w:hAnsi="楷体" w:eastAsia="楷体" w:cs="楷体"/>
          <w:color w:val="000000"/>
        </w:rPr>
        <w:t>东桑西移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楷体" w:hAnsi="楷体" w:eastAsia="楷体" w:cs="楷体"/>
          <w:color w:val="000000"/>
        </w:rPr>
        <w:t>。目前广西蚕茧产量约占全国总量的五成，成为我国第一大桑蚕产区。据此完成下面小题。</w:t>
      </w:r>
    </w:p>
    <w:p w14:paraId="156C948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影响我国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东桑西移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的主要因素是（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20BA398D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政策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市场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交通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水源</w:t>
      </w:r>
    </w:p>
    <w:p w14:paraId="14F98CE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与传统桑蚕业产区相比，广西产区的优势自然条件是（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4A3B3A7D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产业基础雄厚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科技发达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气候优越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劳动力丰富</w:t>
      </w:r>
    </w:p>
    <w:p w14:paraId="3BD8701A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云南省是我国重要的产铜基地。铜矿冶炼需要耗费大量能源。该省大力发展绿色能源产业，加快建设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楷体" w:hAnsi="楷体" w:eastAsia="楷体" w:cs="楷体"/>
          <w:color w:val="000000"/>
        </w:rPr>
        <w:t>风光水火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楷体" w:hAnsi="楷体" w:eastAsia="楷体" w:cs="楷体"/>
          <w:color w:val="000000"/>
        </w:rPr>
        <w:t>多能互补能源基地，其电力供应结构中水电占比约</w:t>
      </w:r>
      <w:r>
        <w:rPr>
          <w:rFonts w:ascii="Times New Roman" w:hAnsi="Times New Roman" w:eastAsia="Times New Roman" w:cs="Times New Roman"/>
          <w:color w:val="000000"/>
        </w:rPr>
        <w:t>80%</w:t>
      </w:r>
      <w:r>
        <w:rPr>
          <w:rFonts w:ascii="楷体" w:hAnsi="楷体" w:eastAsia="楷体" w:cs="楷体"/>
          <w:color w:val="000000"/>
        </w:rPr>
        <w:t>。下图为云南省略图。据此完成下面小题。</w:t>
      </w:r>
    </w:p>
    <w:p w14:paraId="4613E4EC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619375" cy="2381250"/>
            <wp:effectExtent l="0" t="0" r="9525" b="0"/>
            <wp:docPr id="100011" name="图片 1000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619375" cy="2381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397329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图示金沙江水电基地云南段主要靠近（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2B581E6D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藏、滇交界处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川、滇交界处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黔、滇交界处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桂、滇交界处</w:t>
      </w:r>
    </w:p>
    <w:p w14:paraId="2E061D1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该省发展铜矿冶炼得益于当地（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1BB8977F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①</w:t>
      </w:r>
      <w:r>
        <w:rPr>
          <w:rFonts w:ascii="宋体" w:hAnsi="宋体" w:eastAsia="宋体" w:cs="宋体"/>
          <w:color w:val="000000"/>
        </w:rPr>
        <w:t>原料充足</w:t>
      </w:r>
      <w:r>
        <w:rPr>
          <w:color w:val="000000"/>
        </w:rPr>
        <w:t xml:space="preserve">    </w:t>
      </w:r>
      <w:r>
        <w:rPr>
          <w:rFonts w:ascii="Times New Roman" w:hAnsi="Times New Roman" w:eastAsia="Times New Roman" w:cs="Times New Roman"/>
          <w:color w:val="000000"/>
        </w:rPr>
        <w:t>②</w:t>
      </w:r>
      <w:r>
        <w:rPr>
          <w:rFonts w:ascii="宋体" w:hAnsi="宋体" w:eastAsia="宋体" w:cs="宋体"/>
          <w:color w:val="000000"/>
        </w:rPr>
        <w:t>水运便利</w:t>
      </w:r>
      <w:r>
        <w:rPr>
          <w:color w:val="000000"/>
        </w:rPr>
        <w:t xml:space="preserve">    </w:t>
      </w:r>
      <w:r>
        <w:rPr>
          <w:rFonts w:ascii="Times New Roman" w:hAnsi="Times New Roman" w:eastAsia="Times New Roman" w:cs="Times New Roman"/>
          <w:color w:val="000000"/>
        </w:rPr>
        <w:t>③</w:t>
      </w:r>
      <w:r>
        <w:rPr>
          <w:rFonts w:ascii="宋体" w:hAnsi="宋体" w:eastAsia="宋体" w:cs="宋体"/>
          <w:color w:val="000000"/>
        </w:rPr>
        <w:t>能源丰富</w:t>
      </w:r>
      <w:r>
        <w:rPr>
          <w:color w:val="000000"/>
        </w:rPr>
        <w:t xml:space="preserve">    </w:t>
      </w:r>
      <w:r>
        <w:rPr>
          <w:rFonts w:ascii="Times New Roman" w:hAnsi="Times New Roman" w:eastAsia="Times New Roman" w:cs="Times New Roman"/>
          <w:color w:val="000000"/>
        </w:rPr>
        <w:t>④</w:t>
      </w:r>
      <w:r>
        <w:rPr>
          <w:rFonts w:ascii="宋体" w:hAnsi="宋体" w:eastAsia="宋体" w:cs="宋体"/>
          <w:color w:val="000000"/>
        </w:rPr>
        <w:t>地势低平</w:t>
      </w:r>
    </w:p>
    <w:p w14:paraId="505D181F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①②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①③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②④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③④</w:t>
      </w:r>
    </w:p>
    <w:p w14:paraId="079D4C1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该省在开采铜矿过程中应该关注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31" name="图片 1000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1" name="图片 100031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主要生态问题是（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29B048FA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土地盐碱化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土地荒漠化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草场退化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水土流失</w:t>
      </w:r>
    </w:p>
    <w:p w14:paraId="13A32FF1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四、综合题（共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17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4C5F77A3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人类在长期适应气候环境的过程中，逐渐形成不同类型的农业生产方式及富有地方特色的生活方式。阅读材料，回答下列问题。</w:t>
      </w:r>
    </w:p>
    <w:p w14:paraId="62CD1457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图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楷体" w:hAnsi="楷体" w:eastAsia="楷体" w:cs="楷体"/>
          <w:color w:val="000000"/>
        </w:rPr>
        <w:t>为欧洲西部地形图，图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楷体" w:hAnsi="楷体" w:eastAsia="楷体" w:cs="楷体"/>
          <w:color w:val="000000"/>
        </w:rPr>
        <w:t>为欧洲西部气候分布图及鹿特丹、罗马气候图。</w:t>
      </w:r>
    </w:p>
    <w:p w14:paraId="711A54FA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162175" cy="2695575"/>
            <wp:effectExtent l="0" t="0" r="9525" b="9525"/>
            <wp:docPr id="100013" name="图片 1000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162175" cy="2695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drawing>
          <wp:inline distT="0" distB="0" distL="114300" distR="114300">
            <wp:extent cx="1562100" cy="1943100"/>
            <wp:effectExtent l="0" t="0" r="0" b="0"/>
            <wp:docPr id="100015" name="图片 10001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562100" cy="1943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drawing>
          <wp:inline distT="0" distB="0" distL="114300" distR="114300">
            <wp:extent cx="2047875" cy="2705100"/>
            <wp:effectExtent l="0" t="0" r="9525" b="0"/>
            <wp:docPr id="100017" name="图片 10001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047875" cy="2705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drawing>
          <wp:inline distT="0" distB="0" distL="114300" distR="114300">
            <wp:extent cx="1466850" cy="1828800"/>
            <wp:effectExtent l="0" t="0" r="0" b="0"/>
            <wp:docPr id="100019" name="图片 10001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466850" cy="1828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8F5378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欧洲西部以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为主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842477678" name="图片 8424776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2477678" name="图片 842477678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地形以及南部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走向的阿尔卑斯山脉有利于海洋上的湿润气流深入内陆，形成范围广泛的温带海洋性气候。</w:t>
      </w:r>
    </w:p>
    <w:p w14:paraId="788A248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欧洲西部具有世界上最典型的温带海洋性气候和地中海气候，这两种气候对当地的农业生产和人们的生活产生了深刻的影响。结合所学知识，完成下表。</w:t>
      </w:r>
    </w:p>
    <w:tbl>
      <w:tblPr>
        <w:tblStyle w:val="4"/>
        <w:tblW w:w="723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127"/>
        <w:gridCol w:w="2555"/>
        <w:gridCol w:w="1413"/>
        <w:gridCol w:w="2135"/>
      </w:tblGrid>
      <w:tr w14:paraId="7E10D6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11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AB2E883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气候类型</w:t>
            </w:r>
          </w:p>
        </w:tc>
        <w:tc>
          <w:tcPr>
            <w:tcW w:w="25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7F4C44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气候与农业</w:t>
            </w:r>
          </w:p>
        </w:tc>
        <w:tc>
          <w:tcPr>
            <w:tcW w:w="14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2C6835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主要农业类型</w:t>
            </w:r>
          </w:p>
        </w:tc>
        <w:tc>
          <w:tcPr>
            <w:tcW w:w="21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B0CB423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气候与生活</w:t>
            </w:r>
          </w:p>
        </w:tc>
      </w:tr>
      <w:tr w14:paraId="109F44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11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5341668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温带海洋性气候</w:t>
            </w:r>
          </w:p>
        </w:tc>
        <w:tc>
          <w:tcPr>
            <w:tcW w:w="25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5E11F4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t>Ⅰ________</w:t>
            </w:r>
            <w:r>
              <w:rPr>
                <w:rFonts w:ascii="宋体" w:hAnsi="宋体" w:eastAsia="宋体" w:cs="宋体"/>
                <w:color w:val="000000"/>
              </w:rPr>
              <w:t>（气候特征）有利于多汁牧草生长。</w:t>
            </w:r>
          </w:p>
        </w:tc>
        <w:tc>
          <w:tcPr>
            <w:tcW w:w="14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F8A18B8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t>Ⅱ________</w:t>
            </w:r>
          </w:p>
        </w:tc>
        <w:tc>
          <w:tcPr>
            <w:tcW w:w="21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848E2F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当地人餐桌上常见牛羊肉和</w:t>
            </w:r>
            <w:r>
              <w:rPr>
                <w:color w:val="000000"/>
              </w:rPr>
              <w:t>Ⅲ________</w:t>
            </w:r>
            <w:r>
              <w:rPr>
                <w:rFonts w:ascii="宋体" w:hAnsi="宋体" w:eastAsia="宋体" w:cs="宋体"/>
                <w:color w:val="000000"/>
              </w:rPr>
              <w:t>等主要食品。</w:t>
            </w:r>
          </w:p>
        </w:tc>
      </w:tr>
      <w:tr w14:paraId="541253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11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C8CB9E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地中海气候</w:t>
            </w:r>
          </w:p>
        </w:tc>
        <w:tc>
          <w:tcPr>
            <w:tcW w:w="25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5E0CEE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t>Ⅳ________</w:t>
            </w:r>
            <w:r>
              <w:rPr>
                <w:rFonts w:ascii="宋体" w:hAnsi="宋体" w:eastAsia="宋体" w:cs="宋体"/>
                <w:color w:val="000000"/>
              </w:rPr>
              <w:t>（气候特征）有利于油橄榄、葡萄、无花果、柑橘等作物的生长。</w:t>
            </w:r>
          </w:p>
        </w:tc>
        <w:tc>
          <w:tcPr>
            <w:tcW w:w="14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45F98E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地中海园艺业</w:t>
            </w:r>
          </w:p>
        </w:tc>
        <w:tc>
          <w:tcPr>
            <w:tcW w:w="21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CFC774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当地人有喝葡萄酒、用橄榄油的饮食习惯。</w:t>
            </w:r>
          </w:p>
        </w:tc>
      </w:tr>
    </w:tbl>
    <w:p w14:paraId="3C6562CF">
      <w:pPr>
        <w:spacing w:line="360" w:lineRule="auto"/>
        <w:jc w:val="both"/>
        <w:textAlignment w:val="center"/>
        <w:rPr>
          <w:color w:val="000000"/>
        </w:rPr>
      </w:pPr>
    </w:p>
    <w:p w14:paraId="69E583B9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</w:rPr>
        <w:t>阅读材料，回答下列问题。</w:t>
      </w:r>
    </w:p>
    <w:p w14:paraId="6AF10084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我国北方农牧交错带是农区和牧区的过渡地带，属生态脆弱区。研究表明，北方农牧交错带的理想利用模式是在天然草地上合理放牧，在居民点周边等适宜地带种植多年生牧草或一年生饲草料作物，在河谷等适宜地带开垦建设高标准农田种植粮食作物、蔬菜和特色林果等，形成以草牧业为主，粮食产业为辅，特色小杂粮、蔬菜、林果等产业为补充的产业体系和产品结构。</w:t>
      </w:r>
    </w:p>
    <w:p w14:paraId="73A03C7C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毛乌素沙地地处我国北方农牧交错带，是我国四大沙地之一。经过</w:t>
      </w:r>
      <w:r>
        <w:rPr>
          <w:rFonts w:ascii="Times New Roman" w:hAnsi="Times New Roman" w:eastAsia="Times New Roman" w:cs="Times New Roman"/>
          <w:color w:val="000000"/>
        </w:rPr>
        <w:t>70</w:t>
      </w:r>
      <w:r>
        <w:rPr>
          <w:rFonts w:ascii="楷体" w:hAnsi="楷体" w:eastAsia="楷体" w:cs="楷体"/>
          <w:color w:val="000000"/>
        </w:rPr>
        <w:t>多年的努力，毛乌素沙地治理取得显著成效。毛乌素沙地已八成染绿，沙地变成了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楷体" w:hAnsi="楷体" w:eastAsia="楷体" w:cs="楷体"/>
          <w:color w:val="000000"/>
        </w:rPr>
        <w:t>绿洲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楷体" w:hAnsi="楷体" w:eastAsia="楷体" w:cs="楷体"/>
          <w:color w:val="000000"/>
        </w:rPr>
        <w:t>。下图为我国北方农牧交错带分布范围图及毛乌素沙地位置图。</w:t>
      </w:r>
    </w:p>
    <w:p w14:paraId="393D4971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781425" cy="1752600"/>
            <wp:effectExtent l="0" t="0" r="0" b="0"/>
            <wp:docPr id="100021" name="图片 10002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3781425" cy="1752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43C3A2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说明毛乌素沙地的形成原因。</w:t>
      </w:r>
    </w:p>
    <w:p w14:paraId="26DEF2F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列举人们在毛乌素沙地治理过程中可以采取的主要措施。</w:t>
      </w:r>
    </w:p>
    <w:p w14:paraId="24DB3ED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毛乌素沙地变成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绿洲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后，为实现该地可持续发展，请你提出合理化建议。</w:t>
      </w:r>
    </w:p>
    <w:p w14:paraId="42A6FA3A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 w:eastAsia="宋体" w:cs="宋体"/>
          <w:color w:val="000000"/>
        </w:rPr>
        <w:t>京杭运河是世界上开凿最早、最长的人工河。下图为京杭运河示意图。结合下列材料，回答有关问题。</w:t>
      </w:r>
    </w:p>
    <w:p w14:paraId="5610BB79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266950" cy="2762250"/>
            <wp:effectExtent l="0" t="0" r="0" b="0"/>
            <wp:docPr id="100023" name="图片 10002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图片 10002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266950" cy="2762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28D76E0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目前，京杭运河全线水流贯通。济宁以南可以通航。江苏、浙江境内的运河，一直是重要的水上运输线。其中，京杭运河江苏段的年货运量超过</w:t>
      </w:r>
      <w:r>
        <w:rPr>
          <w:rFonts w:ascii="Times New Roman" w:hAnsi="Times New Roman" w:eastAsia="Times New Roman" w:cs="Times New Roman"/>
          <w:color w:val="000000"/>
        </w:rPr>
        <w:t>5</w:t>
      </w:r>
      <w:r>
        <w:rPr>
          <w:rFonts w:ascii="楷体" w:hAnsi="楷体" w:eastAsia="楷体" w:cs="楷体"/>
          <w:color w:val="000000"/>
        </w:rPr>
        <w:t>亿吨，是世界上最繁忙的运河河段之一。</w:t>
      </w:r>
    </w:p>
    <w:p w14:paraId="6C84697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简述京杭运河江苏段货运量大的主要原因。</w:t>
      </w:r>
    </w:p>
    <w:p w14:paraId="7978861F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南水北调东线工程从扬州江都水利枢纽引水，主要利用京杭运河向华北地区供水。</w:t>
      </w:r>
      <w:r>
        <w:rPr>
          <w:rFonts w:ascii="Times New Roman" w:hAnsi="Times New Roman" w:eastAsia="Times New Roman" w:cs="Times New Roman"/>
          <w:color w:val="000000"/>
        </w:rPr>
        <w:t>2013</w:t>
      </w:r>
      <w:r>
        <w:rPr>
          <w:rFonts w:ascii="楷体" w:hAnsi="楷体" w:eastAsia="楷体" w:cs="楷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11</w:t>
      </w:r>
      <w:r>
        <w:rPr>
          <w:rFonts w:ascii="楷体" w:hAnsi="楷体" w:eastAsia="楷体" w:cs="楷体"/>
          <w:color w:val="000000"/>
        </w:rPr>
        <w:t>月，东线一期工程正式通水。京杭运河成为南水北调东线工程的主要输水通道。</w:t>
      </w:r>
    </w:p>
    <w:p w14:paraId="6DC075A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说出南水北调东线工程通水后对华北地区的积极影响。</w:t>
      </w:r>
    </w:p>
    <w:p w14:paraId="1A80EC57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2014</w:t>
      </w:r>
      <w:r>
        <w:rPr>
          <w:rFonts w:ascii="楷体" w:hAnsi="楷体" w:eastAsia="楷体" w:cs="楷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6</w:t>
      </w:r>
      <w:r>
        <w:rPr>
          <w:rFonts w:ascii="楷体" w:hAnsi="楷体" w:eastAsia="楷体" w:cs="楷体"/>
          <w:color w:val="000000"/>
        </w:rPr>
        <w:t>月，中国大运河被列入《世界遗产名录》。大运河遗产包括运河水工遗存（河道、湖泊）、运河附属遗存（配套设施、管理设施）、运河相关古建筑群、历史文化街区等类型。新时期，大运河被赋予历史文化传承功能。</w:t>
      </w:r>
    </w:p>
    <w:p w14:paraId="0AF5EEB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如何保护好、传承好、利用好大运河宝贵遗产，请你给出具体举措</w:t>
      </w:r>
      <w:r>
        <w:rPr>
          <w:rFonts w:ascii="宋体" w:hAnsi="宋体" w:eastAsia="宋体" w:cs="宋体"/>
          <w:color w:val="000000"/>
          <w:position w:val="-12"/>
        </w:rPr>
        <w:drawing>
          <wp:inline distT="0" distB="0" distL="114300" distR="114300">
            <wp:extent cx="127000" cy="76200"/>
            <wp:effectExtent l="0" t="0" r="0" b="0"/>
            <wp:docPr id="100033" name="图片 1000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3" name="图片 100033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127000" cy="76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D29911D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9A56BAB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57F7ADA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F06462D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52BC2FF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13ABCDC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50C9E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57AA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067A107D"/>
    <w:rsid w:val="0A543D28"/>
    <w:rsid w:val="198D7820"/>
    <w:rsid w:val="38274566"/>
    <w:rsid w:val="472C58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page number"/>
    <w:basedOn w:val="5"/>
    <w:qFormat/>
    <w:uiPriority w:val="0"/>
  </w:style>
  <w:style w:type="character" w:styleId="7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5"/>
    <w:link w:val="3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6" Type="http://schemas.openxmlformats.org/officeDocument/2006/relationships/fontTable" Target="fontTable.xml"/><Relationship Id="rId25" Type="http://schemas.openxmlformats.org/officeDocument/2006/relationships/customXml" Target="../customXml/item1.xml"/><Relationship Id="rId24" Type="http://schemas.openxmlformats.org/officeDocument/2006/relationships/image" Target="media/image15.wmf"/><Relationship Id="rId23" Type="http://schemas.openxmlformats.org/officeDocument/2006/relationships/image" Target="media/image14.png"/><Relationship Id="rId22" Type="http://schemas.openxmlformats.org/officeDocument/2006/relationships/image" Target="media/image13.png"/><Relationship Id="rId21" Type="http://schemas.openxmlformats.org/officeDocument/2006/relationships/image" Target="media/image12.png"/><Relationship Id="rId20" Type="http://schemas.openxmlformats.org/officeDocument/2006/relationships/image" Target="media/image11.png"/><Relationship Id="rId2" Type="http://schemas.openxmlformats.org/officeDocument/2006/relationships/settings" Target="settings.xml"/><Relationship Id="rId19" Type="http://schemas.openxmlformats.org/officeDocument/2006/relationships/image" Target="media/image10.png"/><Relationship Id="rId18" Type="http://schemas.openxmlformats.org/officeDocument/2006/relationships/image" Target="media/image9.png"/><Relationship Id="rId17" Type="http://schemas.openxmlformats.org/officeDocument/2006/relationships/image" Target="media/image8.wmf"/><Relationship Id="rId16" Type="http://schemas.openxmlformats.org/officeDocument/2006/relationships/image" Target="media/image7.png"/><Relationship Id="rId15" Type="http://schemas.openxmlformats.org/officeDocument/2006/relationships/image" Target="media/image6.png"/><Relationship Id="rId14" Type="http://schemas.openxmlformats.org/officeDocument/2006/relationships/image" Target="media/image5.png"/><Relationship Id="rId13" Type="http://schemas.openxmlformats.org/officeDocument/2006/relationships/image" Target="media/image4.wmf"/><Relationship Id="rId12" Type="http://schemas.openxmlformats.org/officeDocument/2006/relationships/image" Target="media/image3.png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307460-9DFB-479F-8EE5-A342464829C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6</Pages>
  <Words>2132</Words>
  <Characters>2296</Characters>
  <Lines>0</Lines>
  <Paragraphs>0</Paragraphs>
  <TotalTime>5</TotalTime>
  <ScaleCrop>false</ScaleCrop>
  <LinksUpToDate>false</LinksUpToDate>
  <CharactersWithSpaces>2453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2025-06-17T23:20:00Z</dcterms:created>
  <dc:creator>学科网试题生产平台</dc:creator>
  <dc:description>3778465228292096</dc:description>
  <cp:lastModifiedBy>上帝掷骰子吗</cp:lastModifiedBy>
  <dcterms:modified xsi:type="dcterms:W3CDTF">2026-02-09T06:16:07Z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2052-12.1.0.24657</vt:lpwstr>
  </property>
  <property fmtid="{D5CDD505-2E9C-101B-9397-08002B2CF9AE}" pid="7" name="ICV">
    <vt:lpwstr>8E6A9CB6CEA8492CADDE7A4C8043F81D_12</vt:lpwstr>
  </property>
  <property fmtid="{D5CDD505-2E9C-101B-9397-08002B2CF9AE}" pid="8" name="KSOTemplateDocerSaveRecord">
    <vt:lpwstr>eyJoZGlkIjoiMjljNjk0N2RhMTc0NzI3ZTQwZWEyZWMyMzA2NzliMDQiLCJ1c2VySWQiOiI3ODUwOTA2ODcifQ==</vt:lpwstr>
  </property>
</Properties>
</file>