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BCC55">
      <w:pPr>
        <w:spacing w:line="285" w:lineRule="auto"/>
        <w:jc w:val="left"/>
      </w:pPr>
      <w:bookmarkStart w:id="0" w:name="_GoBack"/>
      <w:bookmarkEnd w:id="0"/>
      <w:r>
        <w:rPr>
          <w:rFonts w:ascii="Times New Roman" w:hAnsi="Times New Roman" w:eastAsia="Times New Roman" w:cs="Times New Roman"/>
          <w:color w:val="auto"/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10922000</wp:posOffset>
            </wp:positionV>
            <wp:extent cx="495300" cy="355600"/>
            <wp:effectExtent l="0" t="0" r="0" b="635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>(2024</w:t>
      </w:r>
      <w:r>
        <w:rPr>
          <w:rFonts w:ascii="宋体" w:hAnsi="宋体" w:eastAsia="宋体" w:cs="宋体"/>
          <w:color w:val="auto"/>
          <w:sz w:val="21"/>
        </w:rPr>
        <w:t>年，第</w:t>
      </w:r>
      <w:r>
        <w:rPr>
          <w:rFonts w:ascii="Times New Roman" w:hAnsi="Times New Roman" w:eastAsia="Times New Roman" w:cs="Times New Roman"/>
          <w:color w:val="auto"/>
          <w:sz w:val="21"/>
        </w:rPr>
        <w:t>1</w:t>
      </w:r>
      <w:r>
        <w:rPr>
          <w:rFonts w:ascii="宋体" w:hAnsi="宋体" w:eastAsia="宋体" w:cs="宋体"/>
          <w:color w:val="auto"/>
          <w:sz w:val="21"/>
        </w:rPr>
        <w:t>题</w:t>
      </w:r>
      <w:r>
        <w:rPr>
          <w:rFonts w:ascii="Times New Roman" w:hAnsi="Times New Roman" w:eastAsia="Times New Roman" w:cs="Times New Roman"/>
          <w:color w:val="auto"/>
          <w:sz w:val="21"/>
        </w:rPr>
        <w:t>)</w:t>
      </w:r>
    </w:p>
    <w:p w14:paraId="149CB33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关于天津博物馆典藏文物的相关化学知识，判断</w:t>
      </w:r>
      <w:r>
        <w:rPr>
          <w:rFonts w:ascii="宋体" w:hAnsi="宋体" w:eastAsia="宋体" w:cs="宋体"/>
          <w:color w:val="auto"/>
          <w:em w:val="dot"/>
        </w:rPr>
        <w:t>错误</w:t>
      </w:r>
      <w:r>
        <w:rPr>
          <w:rFonts w:ascii="宋体" w:hAnsi="宋体" w:eastAsia="宋体" w:cs="宋体"/>
          <w:color w:val="auto"/>
        </w:rPr>
        <w:t>的是</w:t>
      </w:r>
    </w:p>
    <w:p w14:paraId="684EDAEA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太保鼎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西周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的材质是青铜，青铜属于合金</w:t>
      </w:r>
    </w:p>
    <w:p w14:paraId="24A73E09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《雪景寒林图》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北宋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的材质是绢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蚕丝织品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，绢属于天然高分子制品</w:t>
      </w:r>
    </w:p>
    <w:p w14:paraId="3F5C9D12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白釉龙柄联腹传瓶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隋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，其材质是陶瓷，陶瓷属于无机非金属材料</w:t>
      </w:r>
    </w:p>
    <w:p w14:paraId="76E06885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乾隆款珐琅彩芍药雉鸡图玉壶春瓶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清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，其珐琅彩由矿物颜料经高温烧制而成，该颜料属于有机化合物</w:t>
      </w:r>
    </w:p>
    <w:p w14:paraId="25538F1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(2024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4</w:t>
      </w:r>
      <w:r>
        <w:rPr>
          <w:rFonts w:ascii="宋体" w:hAnsi="宋体" w:eastAsia="宋体" w:cs="宋体"/>
          <w:color w:val="000000"/>
          <w:sz w:val="21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</w:rPr>
        <w:t>)</w:t>
      </w:r>
    </w:p>
    <w:p w14:paraId="16A37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我国学者在碳化硅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12" o:title="eqId7d29fc061438688c3f0dad1b9175a42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表面制备出超高迁移率半导体外延石墨烯。下列说法正确的是</w:t>
      </w:r>
    </w:p>
    <w:p w14:paraId="2EAF6A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15pt;width:21pt;" o:ole="t" filled="f" o:preferrelative="t" stroked="f" coordsize="21600,21600">
            <v:path/>
            <v:fill on="f" focussize="0,0"/>
            <v:stroke on="f" joinstyle="miter"/>
            <v:imagedata r:id="rId14" o:title="eqId140b1b88a91a1a3e208b959a9ed21c4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是离子化合物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15pt;width:21pt;" o:ole="t" filled="f" o:preferrelative="t" stroked="f" coordsize="21600,21600">
            <v:path/>
            <v:fill on="f" focussize="0,0"/>
            <v:stroke on="f" joinstyle="miter"/>
            <v:imagedata r:id="rId14" o:title="eqId140b1b88a91a1a3e208b959a9ed21c4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晶体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111451" name="图片 12111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1451" name="图片 121114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熔点高、硬度大</w:t>
      </w:r>
    </w:p>
    <w:p w14:paraId="7ABDDD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核素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8" o:title="eqId529f7c19e5d45dcbcc227db9e87b888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的质子数为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石墨烯属于烯烃</w:t>
      </w:r>
    </w:p>
    <w:p w14:paraId="552809B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(2024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7</w:t>
      </w:r>
      <w:r>
        <w:rPr>
          <w:rFonts w:ascii="宋体" w:hAnsi="宋体" w:eastAsia="宋体" w:cs="宋体"/>
          <w:color w:val="000000"/>
          <w:sz w:val="21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</w:rPr>
        <w:t>)</w:t>
      </w:r>
    </w:p>
    <w:p w14:paraId="36E3C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实验室中下列做法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76530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含重金属离子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25pt;width:59.1pt;" o:ole="t" filled="f" o:preferrelative="t" stroked="f" coordsize="21600,21600">
            <v:path/>
            <v:fill on="f" focussize="0,0"/>
            <v:stroke on="f" joinstyle="miter"/>
            <v:imagedata r:id="rId20" o:title="eqIdbdf8cbb4ad6bde39ff29efbb9689db5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的废液，加水稀释后排放</w:t>
      </w:r>
    </w:p>
    <w:p w14:paraId="3E328F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轻微烫伤时，先用洁净的冷水处理，再涂抹烫伤药膏</w:t>
      </w:r>
    </w:p>
    <w:p w14:paraId="19F474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乙炔等可燃性气体点燃前要检验纯度</w:t>
      </w:r>
    </w:p>
    <w:p w14:paraId="5CC47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2111449" name="图片 12111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1449" name="图片 1211144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将有机废液收集后送专业机构处理</w:t>
      </w:r>
    </w:p>
    <w:p w14:paraId="09B9DC5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(2024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9</w:t>
      </w:r>
      <w:r>
        <w:rPr>
          <w:rFonts w:ascii="宋体" w:hAnsi="宋体" w:eastAsia="宋体" w:cs="宋体"/>
          <w:color w:val="000000"/>
          <w:sz w:val="21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</w:rPr>
        <w:t>)</w:t>
      </w:r>
    </w:p>
    <w:p w14:paraId="2094D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柠檬烯是芳香植物和水果中的常见组分。下列有关它的说法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1EBF1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581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4F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柠檬烯</w:t>
      </w:r>
    </w:p>
    <w:p w14:paraId="19C50C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属于不饱和烃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所含碳原子采取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2pt;width:18.2pt;" o:ole="t" filled="f" o:preferrelative="t" stroked="f" coordsize="21600,21600">
            <v:path/>
            <v:fill on="f" focussize="0,0"/>
            <v:stroke on="f" joinstyle="miter"/>
            <v:imagedata r:id="rId24" o:title="eqId2b76d2b61da089ebba7ec1cfe198adf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7.9pt;width:17.9pt;" o:ole="t" filled="f" o:preferrelative="t" stroked="f" coordsize="21600,21600">
            <v:path/>
            <v:fill on="f" focussize="0,0"/>
            <v:stroke on="f" joinstyle="miter"/>
            <v:imagedata r:id="rId26" o:title="eqId4d44f86dbf656505802193c21eb44bf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杂化</w:t>
      </w:r>
    </w:p>
    <w:p w14:paraId="73590D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与氯气能发生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2-</w:t>
      </w:r>
      <w:r>
        <w:rPr>
          <w:rFonts w:ascii="宋体" w:hAnsi="宋体" w:eastAsia="宋体" w:cs="宋体"/>
          <w:color w:val="000000"/>
        </w:rPr>
        <w:t>加成和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4-</w:t>
      </w:r>
      <w:r>
        <w:rPr>
          <w:rFonts w:ascii="宋体" w:hAnsi="宋体" w:eastAsia="宋体" w:cs="宋体"/>
          <w:color w:val="000000"/>
        </w:rPr>
        <w:t>加成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可发生聚合反应</w:t>
      </w:r>
    </w:p>
    <w:p w14:paraId="1D15A02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(2024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12</w:t>
      </w:r>
      <w:r>
        <w:rPr>
          <w:rFonts w:ascii="宋体" w:hAnsi="宋体" w:eastAsia="宋体" w:cs="宋体"/>
          <w:color w:val="000000"/>
          <w:sz w:val="21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</w:rPr>
        <w:t>)</w:t>
      </w:r>
    </w:p>
    <w:p w14:paraId="4927C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甲胺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9.9pt;width:56.95pt;" o:ole="t" filled="f" o:preferrelative="t" stroked="f" coordsize="21600,21600">
            <v:path/>
            <v:fill on="f" focussize="0,0"/>
            <v:stroke on="f" joinstyle="miter"/>
            <v:imagedata r:id="rId28" o:title="eqIde48d1f8d6e9cf4e1eca511aea8afcb9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水溶液中存在以下平衡：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177pt;" o:ole="t" filled="f" o:preferrelative="t" stroked="f" coordsize="21600,21600">
            <v:path/>
            <v:fill on="f" focussize="0,0"/>
            <v:stroke on="f" joinstyle="miter"/>
            <v:imagedata r:id="rId30" o:title="eqIdbfe54a8b0772086429ec0e749eb27fd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2" o:title="eqId6c7889f265b1bac6f19624eb93f5dbd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4" o:title="eqIdca7e9b79433c0a163b3f47fb25e656a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9pt;width:72.9pt;" o:ole="t" filled="f" o:preferrelative="t" stroked="f" coordsize="21600,21600">
            <v:path/>
            <v:fill on="f" focussize="0,0"/>
            <v:stroke on="f" joinstyle="miter"/>
            <v:imagedata r:id="rId36" o:title="eqId03a1dd849699ed0cd590240e75c0165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8" o:title="eqId9efb21c1262459d071283fc896d91d3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75pt;width:72.75pt;" o:ole="t" filled="f" o:preferrelative="t" stroked="f" coordsize="21600,21600">
            <v:path/>
            <v:fill on="f" focussize="0,0"/>
            <v:stroke on="f" joinstyle="miter"/>
            <v:imagedata r:id="rId40" o:title="eqIdc17bf9e63520a9f8349cb92c2a1043b3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</w:p>
    <w:p w14:paraId="77EF8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4" o:title="eqIdca7e9b79433c0a163b3f47fb25e656a2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9.75pt;width:137pt;" o:ole="t" filled="f" o:preferrelative="t" stroked="f" coordsize="21600,21600">
            <v:path/>
            <v:fill on="f" focussize="0,0"/>
            <v:stroke on="f" joinstyle="miter"/>
            <v:imagedata r:id="rId43" o:title="eqId83c59f6321ca9948a738942aed6ebad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</w:p>
    <w:p w14:paraId="411C8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4" o:title="eqIdca7e9b79433c0a163b3f47fb25e656a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溶液中存在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1.5pt;width:156.35pt;" o:ole="t" filled="f" o:preferrelative="t" stroked="f" coordsize="21600,21600">
            <v:path/>
            <v:fill on="f" focussize="0,0"/>
            <v:stroke on="f" joinstyle="miter"/>
            <v:imagedata r:id="rId46" o:title="eqIdc85cc422c14c76f312ded1b60c8db00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</w:p>
    <w:p w14:paraId="17595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2" o:title="eqId6c7889f265b1bac6f19624eb93f5dbdc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84.6pt;" o:ole="t" filled="f" o:preferrelative="t" stroked="f" coordsize="21600,21600">
            <v:path/>
            <v:fill on="f" focussize="0,0"/>
            <v:stroke on="f" joinstyle="miter"/>
            <v:imagedata r:id="rId49" o:title="eqIde360cbbcac05c7ccd3ed397600496d0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25pt;width:104.8pt;" o:ole="t" filled="f" o:preferrelative="t" stroked="f" coordsize="21600,21600">
            <v:path/>
            <v:fill on="f" focussize="0,0"/>
            <v:stroke on="f" joinstyle="miter"/>
            <v:imagedata r:id="rId51" o:title="eqId19347381359ec669745c1d1f841fc35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溶液相比，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53" o:title="eqId648b45686eba2e2cb73251542a27e54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溶液中的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1.75pt;width:33.75pt;" o:ole="t" filled="f" o:preferrelative="t" stroked="f" coordsize="21600,21600">
            <v:path/>
            <v:fill on="f" focussize="0,0"/>
            <v:stroke on="f" joinstyle="miter"/>
            <v:imagedata r:id="rId55" o:title="eqId347c2f97373ec84da6048a5601228ec0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</w:t>
      </w:r>
    </w:p>
    <w:p w14:paraId="56443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25pt;width:99.4pt;" o:ole="t" filled="f" o:preferrelative="t" stroked="f" coordsize="21600,21600">
            <v:path/>
            <v:fill on="f" focussize="0,0"/>
            <v:stroke on="f" joinstyle="miter"/>
            <v:imagedata r:id="rId57" o:title="eqId3a77575d9bc2421ecc7f90e516891fd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溶液与相同浓度的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25pt;width:58.45pt;" o:ole="t" filled="f" o:preferrelative="t" stroked="f" coordsize="21600,21600">
            <v:path/>
            <v:fill on="f" focussize="0,0"/>
            <v:stroke on="f" joinstyle="miter"/>
            <v:imagedata r:id="rId59" o:title="eqId8ee86d4ccf6fe754e466c0e8c21e5a9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溶液以任意比例混合，混合液中存在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1.5pt;width:200.95pt;" o:ole="t" filled="f" o:preferrelative="t" stroked="f" coordsize="21600,21600">
            <v:path/>
            <v:fill on="f" focussize="0,0"/>
            <v:stroke on="f" joinstyle="miter"/>
            <v:imagedata r:id="rId61" o:title="eqId29185f0e145557cfb9f82a913131ec7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 w14:paraId="5A26D10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(2024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14</w:t>
      </w:r>
      <w:r>
        <w:rPr>
          <w:rFonts w:ascii="宋体" w:hAnsi="宋体" w:eastAsia="宋体" w:cs="宋体"/>
          <w:color w:val="000000"/>
          <w:sz w:val="21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</w:rPr>
        <w:t>)</w:t>
      </w:r>
    </w:p>
    <w:p w14:paraId="32D0E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天然产物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是具有除草活性的植物化感物质，其合成路线如下：</w:t>
      </w:r>
    </w:p>
    <w:p w14:paraId="46C36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859405"/>
            <wp:effectExtent l="0" t="0" r="0" b="1714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5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50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因官能团位置不同而产生的异构体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不包含</w:t>
      </w:r>
      <w:r>
        <w:rPr>
          <w:rFonts w:ascii="Times New Roman" w:hAnsi="Times New Roman" w:eastAsia="Times New Roman" w:cs="Times New Roman"/>
          <w:color w:val="000000"/>
        </w:rPr>
        <w:t>A)</w:t>
      </w:r>
      <w:r>
        <w:rPr>
          <w:rFonts w:ascii="宋体" w:hAnsi="宋体" w:eastAsia="宋体" w:cs="宋体"/>
          <w:color w:val="000000"/>
        </w:rPr>
        <w:t>数目为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；其中核磁共振氢谱有四组峰的异构体的结构简式为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，系统命名为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F294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111447" name="图片 12111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1447" name="图片 121114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含氧官能团名称为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D126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4" o:title="eqIda8124d4bc63e6b9d3a3fc3a9a900ad9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C68E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的结构简式为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BBD3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eqIdd9aac017d78d8d2adcb1221af30f0aa2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的反应类型为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B6A0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根据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的分子结构，判断下列说法正确的是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B9118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．二者互为同分异构体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的水溶性相对较高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．不能用红外光谱区分二者</w:t>
      </w:r>
    </w:p>
    <w:p w14:paraId="44FBF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已知产物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在常温下存在如下互变异构平衡。下列说法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80083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33675" cy="8191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E67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9" o:title="eqId95b02a2eb22e9e77f8412eb97b73e0b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经催化加氢可得相同产物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9" o:title="eqId95b02a2eb22e9e77f8412eb97b73e0b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互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2111445" name="图片 12111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1445" name="图片 1211144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构造异构体</w:t>
      </w:r>
    </w:p>
    <w:p w14:paraId="484DC7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存在分子内氢键</w:t>
      </w:r>
      <w:r>
        <w:rPr>
          <w:rFonts w:ascii="Times New Roman" w:hAnsi="Times New Roman" w:eastAsia="Times New Roman" w:cs="Times New Roman"/>
          <w:color w:val="000000"/>
        </w:rPr>
        <w:t xml:space="preserve">                d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9" o:title="eqId95b02a2eb22e9e77f8412eb97b73e0b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含有手性碳原子</w:t>
      </w:r>
    </w:p>
    <w:p w14:paraId="7AFC8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已知氯代烃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74" o:title="eqId27c213ff7b913200555a4c528eed92d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与醇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.1pt;width:49.95pt;" o:ole="t" filled="f" o:preferrelative="t" stroked="f" coordsize="21600,21600">
            <v:path/>
            <v:fill on="f" focussize="0,0"/>
            <v:stroke on="f" joinstyle="miter"/>
            <v:imagedata r:id="rId76" o:title="eqId2c00cff17fd95b39f90e01a2e14a9dfb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111453" name="图片 12111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1453" name="图片 1211145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作用下生成醚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78" o:title="eqId39aa1cb62154ff05fbf4b6b2b1df56d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。以甲苯和化合物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为原料，参照题干路线，完成目标化合物的合成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无机试剂任选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DA38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52975" cy="12477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5016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(2024</w:t>
      </w:r>
      <w:r>
        <w:rPr>
          <w:rFonts w:ascii="宋体" w:hAnsi="宋体" w:eastAsia="宋体" w:cs="宋体"/>
          <w:color w:val="000000"/>
          <w:sz w:val="21"/>
        </w:rPr>
        <w:t>年，第</w:t>
      </w:r>
      <w:r>
        <w:rPr>
          <w:rFonts w:ascii="Times New Roman" w:hAnsi="Times New Roman" w:eastAsia="Times New Roman" w:cs="Times New Roman"/>
          <w:color w:val="000000"/>
          <w:sz w:val="21"/>
        </w:rPr>
        <w:t>15</w:t>
      </w:r>
      <w:r>
        <w:rPr>
          <w:rFonts w:ascii="宋体" w:hAnsi="宋体" w:eastAsia="宋体" w:cs="宋体"/>
          <w:color w:val="000000"/>
          <w:sz w:val="21"/>
        </w:rPr>
        <w:t>题</w:t>
      </w:r>
      <w:r>
        <w:rPr>
          <w:rFonts w:ascii="Times New Roman" w:hAnsi="Times New Roman" w:eastAsia="Times New Roman" w:cs="Times New Roman"/>
          <w:color w:val="000000"/>
          <w:sz w:val="21"/>
        </w:rPr>
        <w:t>)</w:t>
      </w:r>
    </w:p>
    <w:p w14:paraId="5164D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柠檬酸钙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1.75pt;width:87.75pt;" o:ole="t" filled="f" o:preferrelative="t" stroked="f" coordsize="21600,21600">
            <v:path/>
            <v:fill on="f" focussize="0,0"/>
            <v:stroke on="f" joinstyle="miter"/>
            <v:imagedata r:id="rId81" o:title="eqId53be108e38ff402e6701bbbc6977dce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微溶于水、难溶于乙醇，是一种安全的食品补钙剂。某学习小组以蛋壳为主要原料，开展制备柠檬酸钙的如下实验。</w:t>
      </w:r>
    </w:p>
    <w:p w14:paraId="1DA0DA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Ⅰ．实验流程</w:t>
      </w:r>
    </w:p>
    <w:p w14:paraId="5DFEB6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05250" cy="9239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53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实验中，需将蛋壳研磨成粉，其目的是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8C612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写出蛋壳主要成分与醋酸反应的离子方程式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，此反应的实验现象是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72E3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实验流程中，先将蛋壳粉与醋酸反应，而不是直接与柠檬酸溶液反应。解释该设计的理由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5BC1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过滤时用到的玻璃仪器有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305E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洗涤柠檬酸钙最适宜的试剂是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71FC6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．水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．乙醇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．醋酸</w:t>
      </w:r>
    </w:p>
    <w:p w14:paraId="5E187C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上述实验流程中可循环使用的反应物为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CE5B7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Ⅱ．柠檬酸钙样品纯度的测定</w:t>
      </w:r>
    </w:p>
    <w:p w14:paraId="4CA6B6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已知：柠檬酸钙的摩尔质量为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.1pt;width:77.9pt;" o:ole="t" filled="f" o:preferrelative="t" stroked="f" coordsize="21600,21600">
            <v:path/>
            <v:fill on="f" focussize="0,0"/>
            <v:stroke on="f" joinstyle="miter"/>
            <v:imagedata r:id="rId84" o:title="eqId93dc6e297f2c0919e4876f937182c61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86" o:title="eqId7592efdb9e761635eb01eac2725f2b4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pt;width:18.25pt;" o:ole="t" filled="f" o:preferrelative="t" stroked="f" coordsize="21600,21600">
            <v:path/>
            <v:fill on="f" focussize="0,0"/>
            <v:stroke on="f" joinstyle="miter"/>
            <v:imagedata r:id="rId88" o:title="eqIdcf1c295fd10f4dcc21955ce39560b5c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物质的量之比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形成稳定配合物。</w:t>
      </w:r>
    </w:p>
    <w:p w14:paraId="0BB15A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将干燥后的柠檬酸钙样品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90" o:title="eqId98fd77d7cb4233dc58c8e75bec88345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置于锥形瓶中，按照滴定要求将其配成浅液，用溶液调节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92" o:title="eqId1066e53bf79a3cdff7ec2934bd09e27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大于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，加入钙指示剂，用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94" o:title="eqId3f6c546727f49e1c04a42f298c8a591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2.9pt;width:36pt;" o:ole="t" filled="f" o:preferrelative="t" stroked="f" coordsize="21600,21600">
            <v:path/>
            <v:fill on="f" focussize="0,0"/>
            <v:stroke on="f" joinstyle="miter"/>
            <v:imagedata r:id="rId96" o:title="eqId88cafdf293d86fdc2e414926ad26f6c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标准溶液滴定至试液由紫红色变为蓝色，达到滴定终点，消耗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9pt;width:36pt;" o:ole="t" filled="f" o:preferrelative="t" stroked="f" coordsize="21600,21600">
            <v:path/>
            <v:fill on="f" focussize="0,0"/>
            <v:stroke on="f" joinstyle="miter"/>
            <v:imagedata r:id="rId96" o:title="eqId88cafdf293d86fdc2e414926ad26f6c4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标准溶液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99" o:title="eqId68fe428a7d51dcdd1940ca52c17caea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A16C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配制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01" o:title="eqIdffe1dca0b9d49188ea98ed9e80d08a1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溶液时，需将洗涤烧杯内壁和玻璃棒的洗涤液一并转移至容量瓶中，其目的是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320F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测定实验中，滴定管用蒸馏水洗涤后，加入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2.9pt;width:36pt;" o:ole="t" filled="f" o:preferrelative="t" stroked="f" coordsize="21600,21600">
            <v:path/>
            <v:fill on="f" focussize="0,0"/>
            <v:stroke on="f" joinstyle="miter"/>
            <v:imagedata r:id="rId96" o:title="eqId88cafdf293d86fdc2e414926ad26f6c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标准溶液之前，需进行的操作为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。若滴定所用锥形瓶在使用前洗净但未干燥，会导致测定结果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填“偏高”、“偏低”或“无影响”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E419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（9）</w:t>
      </w:r>
      <w:r>
        <w:rPr>
          <w:rFonts w:ascii="宋体" w:hAnsi="宋体" w:eastAsia="宋体" w:cs="宋体"/>
          <w:color w:val="000000"/>
        </w:rPr>
        <w:t>样品中柠檬酸钙质量分数的表达式是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用字母表示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8722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8183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06F0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0E33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9F6D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CD1C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E7E0ADB"/>
    <w:rsid w:val="4C6E41CF"/>
    <w:rsid w:val="7122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4.bin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png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png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png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png"/><Relationship Id="rId61" Type="http://schemas.openxmlformats.org/officeDocument/2006/relationships/image" Target="media/image26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4" Type="http://schemas.openxmlformats.org/officeDocument/2006/relationships/fontTable" Target="fontTable.xml"/><Relationship Id="rId103" Type="http://schemas.openxmlformats.org/officeDocument/2006/relationships/customXml" Target="../customXml/item1.xml"/><Relationship Id="rId102" Type="http://schemas.openxmlformats.org/officeDocument/2006/relationships/oleObject" Target="embeddings/oleObject46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1381</Words>
  <Characters>1574</Characters>
  <Lines>0</Lines>
  <Paragraphs>0</Paragraphs>
  <TotalTime>0</TotalTime>
  <ScaleCrop>false</ScaleCrop>
  <LinksUpToDate>false</LinksUpToDate>
  <CharactersWithSpaces>1641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2026-02-10T06:35:00Z</dcterms:created>
  <dc:creator>Administrator</dc:creator>
  <cp:lastModifiedBy>上帝掷骰子吗</cp:lastModifiedBy>
  <dcterms:modified xsi:type="dcterms:W3CDTF">2026-02-10T06:54:37Z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4CC3118AFB4B4D008F8B493C8C9AE825_12</vt:lpwstr>
  </property>
</Properties>
</file>