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14D8A">
      <w:pPr>
        <w:keepNext w:val="0"/>
        <w:keepLines w:val="0"/>
        <w:widowControl/>
        <w:suppressLineNumbers w:val="0"/>
        <w:jc w:val="center"/>
        <w:rPr>
          <w:b/>
          <w:bCs/>
          <w:sz w:val="24"/>
          <w:szCs w:val="32"/>
        </w:rPr>
      </w:pPr>
      <w:bookmarkStart w:id="0" w:name="_GoBack"/>
      <w:bookmarkEnd w:id="0"/>
      <w:r>
        <w:rPr>
          <w:rFonts w:ascii="宋体" w:hAnsi="宋体" w:eastAsia="宋体" w:cs="宋体"/>
          <w:b/>
          <w:bCs/>
          <w:kern w:val="0"/>
          <w:sz w:val="36"/>
          <w:szCs w:val="36"/>
          <w:lang w:val="en-US" w:eastAsia="zh-CN" w:bidi="ar"/>
        </w:rPr>
        <w:t>2023年辽宁省普通高等学校招生选择性考试历史试题</w:t>
      </w:r>
    </w:p>
    <w:p w14:paraId="71E3FC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8"/>
          <w:sz w:val="25"/>
          <w:szCs w:val="25"/>
        </w:rPr>
      </w:pPr>
    </w:p>
    <w:p w14:paraId="71F785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spacing w:val="8"/>
          <w:sz w:val="25"/>
          <w:szCs w:val="25"/>
          <w:shd w:val="clear" w:color="auto" w:fill="FFFFFF"/>
        </w:rPr>
        <w:t>一、选择题</w:t>
      </w:r>
    </w:p>
    <w:p w14:paraId="78CEB5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1. 1955年，在今辽宁省朝阳市喀左县出土一批西周青铜器，其中一件盂造型雅致、纹饰精美，刻有“匽侯”等文字。“匽侯”即为“燕侯”，是周初分封的诸侯，封地在蓟。这反映了（ ）</w:t>
      </w:r>
    </w:p>
    <w:p w14:paraId="23F648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A. 青铜器的普遍使用</w:t>
      </w:r>
    </w:p>
    <w:p w14:paraId="0772FB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B. 燕文化影响到辽西地区</w:t>
      </w:r>
    </w:p>
    <w:p w14:paraId="2786C9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C. 分封制的日趋完善</w:t>
      </w:r>
    </w:p>
    <w:p w14:paraId="369C02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t>D. 诸侯祭祀礼仪活动频繁</w:t>
      </w:r>
    </w:p>
    <w:p w14:paraId="4A229D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 《史记》注最有影响是“三家注”，即南朝裴驷的《史记集解》、唐司马贞的《史记索隐》和唐张守节的《史记正义》。今有学者认为，除“三家注”外，还应有第四家注，即考古学家的注。该学者意在强调（ ）</w:t>
      </w:r>
    </w:p>
    <w:p w14:paraId="62D88E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《史记》具有真实性和文学性</w:t>
      </w:r>
    </w:p>
    <w:p w14:paraId="76A418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文献价值有赖于当代学者阐释</w:t>
      </w:r>
    </w:p>
    <w:p w14:paraId="23BD15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文献必须得到出土文物的印证</w:t>
      </w:r>
    </w:p>
    <w:p w14:paraId="246DC3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考古资料有助于探求历史真实</w:t>
      </w:r>
    </w:p>
    <w:p w14:paraId="568CCD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3. 唐代张彦远的《历代名画记》收录两汉及以前画家16人；收录魏晋南北朝时期画家128人，其中包括顾恺之、张僧繇等杰出画家。这一变化发生的原因有（ ）</w:t>
      </w:r>
    </w:p>
    <w:p w14:paraId="297573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①纸张的普遍使用 ②门阀士族的推动 ③北人的大量南迁 ④儒家思想的影响</w:t>
      </w:r>
    </w:p>
    <w:p w14:paraId="2D00A3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①②</w:t>
      </w:r>
    </w:p>
    <w:p w14:paraId="53F244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①③</w:t>
      </w:r>
    </w:p>
    <w:p w14:paraId="357621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②④</w:t>
      </w:r>
    </w:p>
    <w:p w14:paraId="4A1169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③④</w:t>
      </w:r>
    </w:p>
    <w:p w14:paraId="25FB89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4. 绍兴和议之后，金人所需茶叶“自宋人岁供之外，皆贸易于宋界之榷场”。1198年，金朝认为向南宋购茶“费国用而资敌”，次年在今山东、河南等地设坊制茶。然其茶叶价高味差，售卖不畅，遂“罢造茶之坊”，继续向南宋购茶。这表明（ ）</w:t>
      </w:r>
    </w:p>
    <w:p w14:paraId="7AE8A5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金朝辖境内不适宜茶树的种植</w:t>
      </w:r>
    </w:p>
    <w:p w14:paraId="128B45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金朝财政负担沉重</w:t>
      </w:r>
    </w:p>
    <w:p w14:paraId="1D39FF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茶在金人生活中具有重要地位</w:t>
      </w:r>
    </w:p>
    <w:p w14:paraId="0B41C0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经济重心南移完成</w:t>
      </w:r>
    </w:p>
    <w:p w14:paraId="738AD5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5. 1749年，乾隆皇帝谕曰：“蒙古、汉人，同属臣民，如有书写之处，应称‘蒙古’‘内地’，不得以‘蒙’‘汉’字面混行填写，已屡经降旨。今马灵阿奏折，犹以‘夷’‘汉’二字分别名色，可见伊等全未留心。”此谕意在（ ）</w:t>
      </w:r>
    </w:p>
    <w:p w14:paraId="4881A5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A.加强中央集权</w:t>
      </w:r>
    </w:p>
    <w:p w14:paraId="13B5A3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维护国家一统</w:t>
      </w:r>
    </w:p>
    <w:p w14:paraId="512E72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调整民族关系</w:t>
      </w:r>
    </w:p>
    <w:p w14:paraId="2D14EE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规范文书体例</w:t>
      </w:r>
    </w:p>
    <w:p w14:paraId="0C8C53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6. 1842年，清廷拟照英军兵船式样造新船，“并以船炮图说，饬江苏、福建、浙江三省督抚详勘”。浙江巡抚认为现有旧船“虽不能争胜于外洋，尚可牵制于内港”，“与其务高大之名”，不若造“适用之船”，其他督抚亦有相似意见。道光皇帝遂决定“暂缓办理”。这反映出（ ）</w:t>
      </w:r>
    </w:p>
    <w:p w14:paraId="05FEE8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因循守旧思想阻碍革新</w:t>
      </w:r>
    </w:p>
    <w:p w14:paraId="6C7380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中央与地方矛盾尖锐</w:t>
      </w:r>
    </w:p>
    <w:p w14:paraId="0F6DF2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中体西用思想影响广泛</w:t>
      </w:r>
    </w:p>
    <w:p w14:paraId="6252B1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清政府行政效率低下</w:t>
      </w:r>
    </w:p>
    <w:p w14:paraId="5328BF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7. 1914年9月，北京政府颁布《商会法》，规定商会对各级地方官厅行文一律用“呈”“禀”，地方官厅对商会则用“令”“批”。该法一经颁布就遭到商界人士强烈反对。这反映了当时（ ）</w:t>
      </w:r>
    </w:p>
    <w:p w14:paraId="205BAF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文言文与白话文使用的矛盾</w:t>
      </w:r>
    </w:p>
    <w:p w14:paraId="78503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愚昧观念与科学思想的斗争</w:t>
      </w:r>
    </w:p>
    <w:p w14:paraId="01526B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改良思想与革命理念的碰撞</w:t>
      </w:r>
    </w:p>
    <w:p w14:paraId="14F824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专制思想与民主观念的冲突</w:t>
      </w:r>
    </w:p>
    <w:p w14:paraId="716DD6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8. 1939年6月，中共中央要求各地“除积极加紧生产以谋自给外”，各机关部队和所有公营企业的收支“不得于未报解中财经部以前，自行开支”，并“想各种办法节省”。此举旨在（ ）</w:t>
      </w:r>
    </w:p>
    <w:p w14:paraId="4A9643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促进军民团结</w:t>
      </w:r>
    </w:p>
    <w:p w14:paraId="596941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完善财经制度</w:t>
      </w:r>
    </w:p>
    <w:p w14:paraId="1BA049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巩固苏区政权</w:t>
      </w:r>
    </w:p>
    <w:p w14:paraId="76EEE9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坚持长期抗战</w:t>
      </w:r>
    </w:p>
    <w:p w14:paraId="05939E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9. 1952年12月以后，北京等一些城市陆续出现蔬菜供应困难。对此，陈云指出：“蔬菜和其他副食品的供应问题，其意义绝不在建设工厂之下，应该放在与建设工厂同等重要的地位”。这主要强调了（ ）</w:t>
      </w:r>
    </w:p>
    <w:p w14:paraId="7905CC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调整城乡关系的艰巨性</w:t>
      </w:r>
    </w:p>
    <w:p w14:paraId="68B971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优化产业结构的必要性</w:t>
      </w:r>
    </w:p>
    <w:p w14:paraId="1B6B82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保障人民生活的重要性</w:t>
      </w:r>
    </w:p>
    <w:p w14:paraId="1A0C5C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缓解粮食短缺的紧迫性</w:t>
      </w:r>
    </w:p>
    <w:p w14:paraId="3C9285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10. 1981年5月，沈阳市皇姑区3名女青年自谋职业，创办麦香村个体小吃部，铁西区也有青年开办个体钟表修理部。辽宁省及沈阳市主要领导走访了这些个体工商户，对他们给予肯定和鼓励。这反映了当时（ ）</w:t>
      </w:r>
    </w:p>
    <w:p w14:paraId="09B166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思想观念得到解放</w:t>
      </w:r>
    </w:p>
    <w:p w14:paraId="756646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城市经济体制改革全面展开</w:t>
      </w:r>
    </w:p>
    <w:p w14:paraId="0BAA30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工业结构发生转变</w:t>
      </w:r>
    </w:p>
    <w:p w14:paraId="670A0A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青年成为改革创新的主力军</w:t>
      </w:r>
    </w:p>
    <w:p w14:paraId="45C2D1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11. 如图是公元前7世纪亚述帝国宫殿中一幅浮雕（复制品）的局部图。该图展现了亚述帝国（ ）</w:t>
      </w:r>
    </w:p>
    <w:p w14:paraId="6D6FE7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2171700" cy="158115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2171700" cy="1581150"/>
                    </a:xfrm>
                    <a:prstGeom prst="rect">
                      <a:avLst/>
                    </a:prstGeom>
                    <a:noFill/>
                    <a:ln w="9525">
                      <a:noFill/>
                    </a:ln>
                  </pic:spPr>
                </pic:pic>
              </a:graphicData>
            </a:graphic>
          </wp:inline>
        </w:drawing>
      </w:r>
    </w:p>
    <w:p w14:paraId="2D9E84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繁琐的宫廷礼仪</w:t>
      </w:r>
    </w:p>
    <w:p w14:paraId="47136B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复杂的官僚体系</w:t>
      </w:r>
    </w:p>
    <w:p w14:paraId="20BAFC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奢华的贵族生活</w:t>
      </w:r>
    </w:p>
    <w:p w14:paraId="3472A2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丰富的物产资源</w:t>
      </w:r>
    </w:p>
    <w:p w14:paraId="242BB6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12. 中古时期，西欧司法审判中盛行“决斗裁判”和“神意裁判”。11世纪初，随着西欧城市的兴起，城市中的商人开始选出仲裁人，并依据“萌芽性的商法”进行审判，逐渐形成了市民法庭。这反映出（ ）</w:t>
      </w:r>
    </w:p>
    <w:p w14:paraId="0E234E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城市崛起促进王权加强</w:t>
      </w:r>
    </w:p>
    <w:p w14:paraId="7A7B39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自由主义打破封建束缚</w:t>
      </w:r>
    </w:p>
    <w:p w14:paraId="6CDE30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新兴阶层冲击教会特权</w:t>
      </w:r>
    </w:p>
    <w:p w14:paraId="13D86D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商业发展推动司法进步</w:t>
      </w:r>
    </w:p>
    <w:p w14:paraId="1B59BE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13. 据如表可知，当时法国（ ）</w:t>
      </w:r>
    </w:p>
    <w:p w14:paraId="137C23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1840年法国最高纳税人职业表（纳税货币单位：法郎）</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648"/>
        <w:gridCol w:w="1434"/>
        <w:gridCol w:w="1435"/>
        <w:gridCol w:w="1435"/>
        <w:gridCol w:w="1435"/>
        <w:gridCol w:w="1435"/>
        <w:gridCol w:w="1333"/>
      </w:tblGrid>
      <w:tr w14:paraId="16FDB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585AF3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职业人数</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FC5324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0.5—0.6万</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936A20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0.6—0.7万</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76CD0F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0.7—0.8万</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9DC4C9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0.8—1.0万</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9E22D1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1.0—1.5万</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BAD221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1.5万以上</w:t>
            </w:r>
          </w:p>
        </w:tc>
      </w:tr>
      <w:tr w14:paraId="4151C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27A988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土地所有者</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23567F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147</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872C65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94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5BD65B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41</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047209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50</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3B3FD7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32</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7EB3BD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13</w:t>
            </w:r>
          </w:p>
        </w:tc>
      </w:tr>
      <w:tr w14:paraId="23A56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1BF9BE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高级官员</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A05780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18</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29657F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13</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F2F5AB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3</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A0CE0D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330518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30CFC9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w:t>
            </w:r>
          </w:p>
        </w:tc>
      </w:tr>
      <w:tr w14:paraId="7DFB6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C78AA3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自由职业者</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1BAA00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17</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E2F466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00D378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07F2079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CB538C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6F9D39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w:t>
            </w:r>
          </w:p>
        </w:tc>
      </w:tr>
      <w:tr w14:paraId="4DA44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B808F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商人、银行家</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7104DC4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10</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4454D9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16</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076D36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502381AC">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9</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2FA9FA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5</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9FB1A4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w:t>
            </w:r>
          </w:p>
        </w:tc>
      </w:tr>
      <w:tr w14:paraId="6C2C5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32693DB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工业家</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51943E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10</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FF2775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6</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1023A84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3</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21A3F188">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4</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1FF2D5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2</w:t>
            </w:r>
          </w:p>
        </w:tc>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4C4C1F2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Microsoft YaHei UI" w:hAnsi="Microsoft YaHei UI" w:eastAsia="Microsoft YaHei UI" w:cs="Microsoft YaHei UI"/>
                <w:i w:val="0"/>
                <w:iCs w:val="0"/>
                <w:caps w:val="0"/>
                <w:color w:val="000000"/>
                <w:spacing w:val="8"/>
                <w:sz w:val="25"/>
                <w:szCs w:val="25"/>
              </w:rPr>
              <w:t>1</w:t>
            </w:r>
          </w:p>
        </w:tc>
      </w:tr>
    </w:tbl>
    <w:p w14:paraId="506EC1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社会阶层固化</w:t>
      </w:r>
    </w:p>
    <w:p w14:paraId="3DF17A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工业化程度有限</w:t>
      </w:r>
    </w:p>
    <w:p w14:paraId="3FD4D8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贫富差距扩大</w:t>
      </w:r>
    </w:p>
    <w:p w14:paraId="3E172F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税收负担较沉重</w:t>
      </w:r>
    </w:p>
    <w:p w14:paraId="7BDAF6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14. 20世纪初，印度进口自行车的主要购买群体是居住在印度的英国人。但随着越来越多的印度人拥有了自行车，英国人便以骑车会让人汗流浃背和“不体面”为由，逐渐放弃了自行车而改为汽车出行。这反映出英国人的（ ）</w:t>
      </w:r>
    </w:p>
    <w:p w14:paraId="28CDC5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时尚引领意识</w:t>
      </w:r>
    </w:p>
    <w:p w14:paraId="0EF763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前瞻性科学思维</w:t>
      </w:r>
    </w:p>
    <w:p w14:paraId="444517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保守主义思想</w:t>
      </w:r>
    </w:p>
    <w:p w14:paraId="27327C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殖民者优越心理</w:t>
      </w:r>
    </w:p>
    <w:p w14:paraId="5FE0FA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15. 二战结束后，斯大林格勒拖拉机厂在大部分厂房还是废墟时，就已开始生产，仅1946年就生产了6000台拖拉机。到1950年，全市的机械制造等工业生产已完全恢复，产量超出战前水平的30%以上。这体现了当时苏联（ ）</w:t>
      </w:r>
    </w:p>
    <w:p w14:paraId="574B8A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重视重工业的发展</w:t>
      </w:r>
    </w:p>
    <w:p w14:paraId="327608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经济管理体制的转型</w:t>
      </w:r>
    </w:p>
    <w:p w14:paraId="0B6649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集体化进程的加快</w:t>
      </w:r>
    </w:p>
    <w:p w14:paraId="634128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工业生产技术的领先</w:t>
      </w:r>
    </w:p>
    <w:p w14:paraId="6B7DA2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16. 2001年，联合国国际移民组织创立国际移民对话机制，秉持“开放和自由原则”，“向所有移民利益相关者开放”，让他们能有平等的机会参与讨论，“分享特定移民问题领域的政策方针和有效做法”。该机制（ ）</w:t>
      </w:r>
    </w:p>
    <w:p w14:paraId="0DE4D0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A. 有利于国际移民问题的协调合作</w:t>
      </w:r>
    </w:p>
    <w:p w14:paraId="5DCB8F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B. 促进了移民社会文化认同</w:t>
      </w:r>
    </w:p>
    <w:p w14:paraId="390FB1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C. 促使全球劳动力流动呈现新趋势</w:t>
      </w:r>
    </w:p>
    <w:p w14:paraId="547275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D. 推动了区域经济的一体化</w:t>
      </w:r>
    </w:p>
    <w:p w14:paraId="738694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716FE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Style w:val="7"/>
          <w:rFonts w:hint="eastAsia" w:ascii="Microsoft YaHei UI" w:hAnsi="Microsoft YaHei UI" w:eastAsia="Microsoft YaHei UI" w:cs="Microsoft YaHei UI"/>
          <w:i w:val="0"/>
          <w:iCs w:val="0"/>
          <w:caps w:val="0"/>
          <w:color w:val="000000"/>
          <w:spacing w:val="8"/>
          <w:sz w:val="25"/>
          <w:szCs w:val="25"/>
          <w:shd w:val="clear" w:color="auto" w:fill="FFFFFF"/>
        </w:rPr>
        <w:t>二、非选择题</w:t>
      </w:r>
    </w:p>
    <w:p w14:paraId="39CD11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17. 阅读材料，完成下列要求。</w:t>
      </w:r>
    </w:p>
    <w:p w14:paraId="294802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4D68D0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旧唐书》200卷，后晋刘啕等历时4年撰成。编修者以唐代国史、实录及朝报、吏牍、家状等为主要编撰材料，但对材料缺少剪裁和整理，“敷衍成帙”。纪传中大量抄录唐代皇帝诏敕和臣僚奏疏、表章、诗赋等，屡现“本朝”“今上”等文字。因其保存很多原始材料，司马光编写《资治通鉴·唐纪》时，纪事多取自《旧唐书》。</w:t>
      </w:r>
    </w:p>
    <w:p w14:paraId="2E6031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北宋时，仁宗令欧阳修等重修唐史，历时17年乃成《新唐书》225卷。书中创设4表，增加3志及列传331人，列传部分还参考了碑志、家谱等新材料。新设《藩镇》《奸臣》《叛臣》《逆臣》等类传，并将《忠义》调至类传第一。大删《旧唐书》所录诏令、奏疏等，或直接将骈文改写成散文，总字数比《旧唐书》少约16万字。</w:t>
      </w:r>
    </w:p>
    <w:p w14:paraId="511DBE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——摘编自陈高华等《中国古代史史料学》</w:t>
      </w:r>
    </w:p>
    <w:p w14:paraId="780D8D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（1）根据材料并结合所学知识，从史料角度分别概括《旧唐书》与《新唐书》的价值。</w:t>
      </w:r>
    </w:p>
    <w:p w14:paraId="1B63BD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5E142C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（2）根据材料并结合所学知识，简析《新唐书》编修原因及其编纂原则。</w:t>
      </w:r>
    </w:p>
    <w:p w14:paraId="1E9A17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1C88B5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18. 阅读材料，完成下列要求。</w:t>
      </w:r>
    </w:p>
    <w:p w14:paraId="153106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材料一 </w:t>
      </w:r>
    </w:p>
    <w:p w14:paraId="46704D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我国对月的崇拜在原始社会中就存在，西周已形成较为完善的祭月之礼，后历朝历代因之。人们通过观测月亮的圆缺变化周期，逐渐形成了日、月等时间观念，并以此为依据制定了历法，称为阴历或太阴历。人们对月亮还充满各种想象，建构了月宫、嫦娥、玉兔、桂树等神话形象，用以寄托长寿、团圆等美好的期盼。</w:t>
      </w:r>
    </w:p>
    <w:p w14:paraId="728CC0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——摘编自王玉哲《中华远古史》等</w:t>
      </w:r>
    </w:p>
    <w:p w14:paraId="0FF79D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材料二 </w:t>
      </w:r>
    </w:p>
    <w:p w14:paraId="28B947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明末清初，徐光启等编撰的《崇祯历书》和康熙皇帝召集学者编订的《历象考成》均吸纳了西方有关月亮的科学知识。民国时期，天文学家陈遵妫撰写的《天文学概论》详述了月地距离、月球大小、质量等内容。这一时期，教科书、大众期刊、学生丛书等也纷纷介绍月亮知识。</w:t>
      </w:r>
    </w:p>
    <w:p w14:paraId="068D01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2004年，中国国家航天局正式启动探月工程。2013年，“嫦娥三号”着陆器和“玉兔号”月球车登上月球，国人真切地见到了月亮的“庐山真面目”2020年，“嫦娥五号”返回器带回了月球样品，科学家对此进行研究，深化了人们对月亮的认知。</w:t>
      </w:r>
    </w:p>
    <w:p w14:paraId="1EF208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——摘编自谭丹《西学与近代国人的月亮新知》等</w:t>
      </w:r>
    </w:p>
    <w:p w14:paraId="5DD688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（1）根据材料一，概括中国古代人们对月亮认知。</w:t>
      </w:r>
    </w:p>
    <w:p w14:paraId="6DEA0A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78D587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（2）根据材料并结合所学知识，概括明清以来国人对月亮认知的变化并分析其原因。</w:t>
      </w:r>
    </w:p>
    <w:p w14:paraId="557EA0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67F023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19. 阅读材料，完成下列要求。</w:t>
      </w:r>
    </w:p>
    <w:p w14:paraId="1801E3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638272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19世纪末20世纪初，西方会计机构出现在上海等城市的租界内，主要服务于外商。1918年，北京政府颁布《会计师暂行章程》，中国近代职业会计师的制度开始建立。早期会计师人数增长缓慢，业务量有限。</w:t>
      </w:r>
    </w:p>
    <w:p w14:paraId="110CA3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1936年，会计师业务逐渐兴盛。立信会计事务所创办了《立信月报》等专业刊物，并刊发大量文章。会计师们出版了税法解释及纳税指南一类的书籍。立信会计学校还添设所得税科，学员“大多为工商界正副经理、会计主任及其他高级职员”。会计师在工商企业的邀请下，赴各地讲解税法及会计相关问题，听者“均系中外闻人，工商巨子”。政府税务部门也聘请会计师解释税法。1937年，立信会计事务所创办者潘序伦向财政部提出对国家税法进行修改的建议。国民政府在后来修订税法之时也部分吸收会计师的意见。</w:t>
      </w:r>
    </w:p>
    <w:p w14:paraId="79A19E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——摘编自魏文享《战争、税收与财政国家建构：近代中国所得税研究》等</w:t>
      </w:r>
    </w:p>
    <w:p w14:paraId="3A6734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（1）根据材料并结合所学知识，说明近代中国会计师行业兴起及发展的原因。</w:t>
      </w:r>
    </w:p>
    <w:p w14:paraId="009E49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283661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（2）根据材料并结合所学知识，简析近代中国会计师行业所起的作用。</w:t>
      </w:r>
    </w:p>
    <w:p w14:paraId="111691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06DC03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378409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14:paraId="2E2F1C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20. 阅读材料，完成下列要求。</w:t>
      </w:r>
    </w:p>
    <w:p w14:paraId="11CADB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材料 </w:t>
      </w:r>
    </w:p>
    <w:p w14:paraId="44D912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 下图是西方学者绘制的一幅历史地图，包含了多种历史信息。</w:t>
      </w:r>
    </w:p>
    <w:p w14:paraId="2EA6C0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drawing>
          <wp:inline distT="0" distB="0" distL="114300" distR="114300">
            <wp:extent cx="5571490" cy="3657600"/>
            <wp:effectExtent l="0" t="0" r="1016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11"/>
                    <a:stretch>
                      <a:fillRect/>
                    </a:stretch>
                  </pic:blipFill>
                  <pic:spPr>
                    <a:xfrm>
                      <a:off x="0" y="0"/>
                      <a:ext cx="5571490" cy="3657600"/>
                    </a:xfrm>
                    <a:prstGeom prst="rect">
                      <a:avLst/>
                    </a:prstGeom>
                    <a:noFill/>
                    <a:ln w="9525">
                      <a:noFill/>
                    </a:ln>
                  </pic:spPr>
                </pic:pic>
              </a:graphicData>
            </a:graphic>
          </wp:inline>
        </w:drawing>
      </w:r>
    </w:p>
    <w:p w14:paraId="4ED805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000000"/>
          <w:spacing w:val="8"/>
          <w:sz w:val="25"/>
          <w:szCs w:val="25"/>
          <w:shd w:val="clear" w:color="auto" w:fill="FFFFFF"/>
        </w:rPr>
        <w:t>紧扣材料所示信息，结合世界史相关知识，为该图命名，并阐释命名理由。（要求：名称中须包含时间尺度；史实准确，逻辑严谨，表述清晰）</w:t>
      </w:r>
    </w:p>
    <w:p w14:paraId="274ED59E"/>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4D838">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EB5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482C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075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1F4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60A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0315608C"/>
    <w:rsid w:val="4F3B530E"/>
    <w:rsid w:val="65F65B6C"/>
    <w:rsid w:val="72BF7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3554</Words>
  <Characters>3762</Characters>
  <Lines>0</Lines>
  <Paragraphs>0</Paragraphs>
  <TotalTime>0</TotalTime>
  <ScaleCrop>false</ScaleCrop>
  <LinksUpToDate>false</LinksUpToDate>
  <CharactersWithSpaces>3870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A1786FD54ADE4DB583C648FCB0F6F54A_12</vt:lpwstr>
  </property>
</Properties>
</file>