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C8E4A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10693400</wp:posOffset>
            </wp:positionV>
            <wp:extent cx="266700" cy="2540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年安徽省普通高中学业水平选择性考试</w:t>
      </w:r>
    </w:p>
    <w:p w14:paraId="161EBAB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03EDC3A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C6C655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088C6897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西周前期，青铜器高古凝重，无取巧用意，纹饰原始，颇有图腾意味；春秋中叶至战国末年，器制多轻便适用，每每以现实性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动物为附饰物，追求精巧玲珑，标新立异。这一变化说明（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26BEDC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宗法观念已经名存实亡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青铜铸造进入鼎盛时期</w:t>
      </w:r>
    </w:p>
    <w:p w14:paraId="35DAE3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青铜器的礼乐功能弱化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农耕工具发生显著变化</w:t>
      </w:r>
    </w:p>
    <w:p w14:paraId="0143C2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《晋书·陶侃传》记载，陶侃为武昌太守时“立夷市于郡东，大收其利”。《梁书·张稷传》亦载：“郁州（今属连云港市）接边陲，民俗多与魏人交市。”此类记载所反映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现象表明，这一时期（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D627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海外贸易增加财政收入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市镇兴起维护了时局稳定</w:t>
      </w:r>
    </w:p>
    <w:p w14:paraId="19481D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互市交易促进民族交往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榷场的设立带动民间交流</w:t>
      </w:r>
    </w:p>
    <w:p w14:paraId="010236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唐朝文学家段成式《酉阳杂俎》所记植物近二百种，包括唐代传入的龙胆香、安息香、波斯枣、巴旦杏、无花果等。其子段公路《北户录》则主要记载了岭南地区的动植物，其中写道：茉莉花“本出外国，大同二年（</w:t>
      </w:r>
      <w:r>
        <w:rPr>
          <w:rFonts w:ascii="Times New Roman" w:hAnsi="Times New Roman" w:eastAsia="Times New Roman" w:cs="Times New Roman"/>
          <w:color w:val="000000"/>
        </w:rPr>
        <w:t>536</w:t>
      </w:r>
      <w:r>
        <w:rPr>
          <w:rFonts w:ascii="宋体" w:hAnsi="宋体" w:eastAsia="宋体" w:cs="宋体"/>
          <w:color w:val="000000"/>
        </w:rPr>
        <w:t>），始来中土，今番禺士女，多以彩缕贯花卖之”。这反映了（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5638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唐朝文化兼收并蓄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大唐风俗远播异域</w:t>
      </w:r>
    </w:p>
    <w:p w14:paraId="2B5141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市民生活悠闲雅致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文学体裁多种多样</w:t>
      </w:r>
    </w:p>
    <w:p w14:paraId="2BE324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1311</w:t>
      </w:r>
      <w:r>
        <w:rPr>
          <w:rFonts w:ascii="宋体" w:hAnsi="宋体" w:eastAsia="宋体" w:cs="宋体"/>
          <w:color w:val="000000"/>
        </w:rPr>
        <w:t>年，朝廷遣官至江浙议海运事。尝令海船自扬子江逆流而上，至江东宁国、池、饶、建康等处运粮，然航道险阻，“粮船俱坏，岁岁有之。又湖广、江西之粮运至真州（今江苏仪征、六合一带）泊入海船，船大底小，亦非江中所宜”。于是将嘉兴、松江秋粮，及江淮、江浙财赋都总管府岁征之粮一并海运。这说明，元代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A6D1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江南粮食商品化程度高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税粮北运促进海运发展</w:t>
      </w:r>
    </w:p>
    <w:p w14:paraId="58B8A7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长江流域经济趋于平衡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财赋重心沿江逐渐西移</w:t>
      </w:r>
    </w:p>
    <w:p w14:paraId="21BE55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明代东南地区四县役银分摊表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90"/>
        <w:gridCol w:w="1710"/>
        <w:gridCol w:w="1290"/>
        <w:gridCol w:w="1290"/>
        <w:gridCol w:w="1290"/>
        <w:gridCol w:w="1290"/>
      </w:tblGrid>
      <w:tr w14:paraId="4B5B2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96B0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年份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E16E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地区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B7D4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赋役总额（两）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9E50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役银分摊前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E183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役银分摊后</w:t>
            </w:r>
          </w:p>
        </w:tc>
      </w:tr>
      <w:tr w14:paraId="6C78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5B7FC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94978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40D21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C8FE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丁银（两）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4065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田赋（两）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D3A1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丁银（两）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BD13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田赋（两）</w:t>
            </w:r>
          </w:p>
        </w:tc>
      </w:tr>
      <w:tr w14:paraId="4096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118D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1572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F8E8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福建漳平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DC640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9932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406F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6747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BAD6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3185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B8E9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2189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8E46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7743</w:t>
            </w:r>
          </w:p>
        </w:tc>
      </w:tr>
      <w:tr w14:paraId="10B39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2BAA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1582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5279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浙江开化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FDB2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22456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96F8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12648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279A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9808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3711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3457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3B5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18999</w:t>
            </w:r>
          </w:p>
        </w:tc>
      </w:tr>
      <w:tr w14:paraId="4477B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E0A5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1585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4455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广东顺德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BA10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34580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DEDB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16628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0ED5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17952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82D1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5304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7200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29276</w:t>
            </w:r>
          </w:p>
        </w:tc>
      </w:tr>
      <w:tr w14:paraId="79884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F879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1621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E0C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南直隶歙县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5A02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48609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CEF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23669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9C9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24940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18CD3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7657</w:t>
            </w:r>
          </w:p>
        </w:tc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055A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40952</w:t>
            </w:r>
          </w:p>
        </w:tc>
      </w:tr>
    </w:tbl>
    <w:p w14:paraId="309B05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可知，役银分摊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做法（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3822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增加了人丁税额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有利于人口的增长</w:t>
      </w:r>
    </w:p>
    <w:p w14:paraId="3B3FCA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制约了商业发展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强化人身依附关系</w:t>
      </w:r>
    </w:p>
    <w:p w14:paraId="74B8C0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1899</w:t>
      </w:r>
      <w:r>
        <w:rPr>
          <w:rFonts w:ascii="宋体" w:hAnsi="宋体" w:eastAsia="宋体" w:cs="宋体"/>
          <w:color w:val="000000"/>
        </w:rPr>
        <w:t>年，《万国公报》称：广学会翻译的《泰西新史揽要》《中东战纪本末》《时事新论》《列国变通兴盛记》等，“初印时，人鲜顾问，往往随处分赠，继而渐有乐购者，近三年来，几于四海风行”。这一现象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4F5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“师夷之长技”成为时代潮流</w:t>
      </w:r>
    </w:p>
    <w:p w14:paraId="0B03D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民众普遍认同西方资产阶级革命思想</w:t>
      </w:r>
    </w:p>
    <w:p w14:paraId="1A7137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“戊戌政变”促进了新学传播</w:t>
      </w:r>
    </w:p>
    <w:p w14:paraId="4C0E2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有识之士借鉴异邦兴衰探索救亡道路</w:t>
      </w:r>
    </w:p>
    <w:p w14:paraId="2B93D7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1921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《新青年》刊文指出，虽然马克思、恩格斯“是近世科学的社会主义之始祖”，有许多独具慧眼的见解，但“我们对于古人的学说，当参照现在的情形，加以考虑，断不可一昧盲从，做出那‘孔趋亦趋，孔步亦步’的样子”。由此可见，当时知识界已关注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15BD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革命理论传播的广泛性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儒家传统文化的包容性</w:t>
      </w:r>
    </w:p>
    <w:p w14:paraId="57FC4F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民主主义革命的阶段性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社会主义学说的实践性</w:t>
      </w:r>
    </w:p>
    <w:p w14:paraId="77DAE0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下图所示为</w:t>
      </w:r>
      <w:r>
        <w:rPr>
          <w:rFonts w:ascii="Times New Roman" w:hAnsi="Times New Roman" w:eastAsia="Times New Roman" w:cs="Times New Roman"/>
          <w:color w:val="000000"/>
        </w:rPr>
        <w:t>1956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月上海市寿成区人民政府签发的恢复结婚证，印有“互爱互敬和睦团结，同心协力劳动生产”字样。这可用以说明（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1DF0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14800" cy="3048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B9C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人民政府倡导新风尚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传统婚姻制度亟待改变</w:t>
      </w:r>
    </w:p>
    <w:p w14:paraId="0A5B22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生产方式发生了变革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经济互助稳定婚姻关系</w:t>
      </w:r>
    </w:p>
    <w:p w14:paraId="0F920E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1986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《光明日报》报道：湖南某国企—副总工程师，因工作不顺不辞而别，欲入职以高薪相邀的江苏某乡镇企业；在经历诸多波折后，他最终被湖北某偏远山区县委书记“用事业吸引人，用工作挽留人，用诚意感动人”的做法打动而入职当地企业。这体现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12D7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国有企业改革取得显著成效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私有制经济有效补充公有制经济</w:t>
      </w:r>
    </w:p>
    <w:p w14:paraId="3427F5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改革开放缩小城乡经济差距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经济体制改革拓宽人才流动空间</w:t>
      </w:r>
    </w:p>
    <w:p w14:paraId="2CA2BB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古代埃及王表通常是指按照年代次序罗列统治者形象、名字和头衔的文献。约公元前</w:t>
      </w:r>
      <w:r>
        <w:rPr>
          <w:rFonts w:ascii="Times New Roman" w:hAnsi="Times New Roman" w:eastAsia="Times New Roman" w:cs="Times New Roman"/>
          <w:color w:val="000000"/>
        </w:rPr>
        <w:t>3200</w:t>
      </w:r>
      <w:r>
        <w:rPr>
          <w:rFonts w:ascii="宋体" w:hAnsi="宋体" w:eastAsia="宋体" w:cs="宋体"/>
          <w:color w:val="000000"/>
        </w:rPr>
        <w:t>年至公元前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年之间，王表中的大量王名写于王名框中，王名框上一般刻画有代表荷鲁斯神的鹰隼形象。新王国（前</w:t>
      </w:r>
      <w:r>
        <w:rPr>
          <w:rFonts w:ascii="Times New Roman" w:hAnsi="Times New Roman" w:eastAsia="Times New Roman" w:cs="Times New Roman"/>
          <w:color w:val="000000"/>
        </w:rPr>
        <w:t>1550</w:t>
      </w:r>
      <w:r>
        <w:rPr>
          <w:rFonts w:ascii="宋体" w:hAnsi="宋体" w:eastAsia="宋体" w:cs="宋体"/>
          <w:color w:val="000000"/>
        </w:rPr>
        <w:t>～前</w:t>
      </w:r>
      <w:r>
        <w:rPr>
          <w:rFonts w:ascii="Times New Roman" w:hAnsi="Times New Roman" w:eastAsia="Times New Roman" w:cs="Times New Roman"/>
          <w:color w:val="000000"/>
        </w:rPr>
        <w:t>1069</w:t>
      </w:r>
      <w:r>
        <w:rPr>
          <w:rFonts w:ascii="宋体" w:hAnsi="宋体" w:eastAsia="宋体" w:cs="宋体"/>
          <w:color w:val="000000"/>
        </w:rPr>
        <w:t>）时期，王表形制臻于成熟。据此可知，古代埃及王表（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DABB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说明了象形文字的缘起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融合了宗教与王权的观念</w:t>
      </w:r>
    </w:p>
    <w:p w14:paraId="1BA6693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呈现了埃及神庙的兴衰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展示了分裂与统一的场景</w:t>
      </w:r>
    </w:p>
    <w:p w14:paraId="2D943D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中古时期，一部取材于查理大帝远征西班牙史实的文学作品写道：“我的宝剑啊，你何其不幸！虽则我要死了，但仍旧不舍你！靠了你，我踏过多少山野，靠了你，我赢得了多少战争，靠了你，我征服了无数土地，由白发的查理统治到今朝。”这一表述旨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8305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揭示战争真相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抒发乡土情怀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传播神话故事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歌颂骑士英雄</w:t>
      </w:r>
    </w:p>
    <w:p w14:paraId="63D413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意大利政治哲学家马基雅维利（</w:t>
      </w:r>
      <w:r>
        <w:rPr>
          <w:rFonts w:ascii="Times New Roman" w:hAnsi="Times New Roman" w:eastAsia="Times New Roman" w:cs="Times New Roman"/>
          <w:color w:val="000000"/>
        </w:rPr>
        <w:t>1469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1527</w:t>
      </w:r>
      <w:r>
        <w:rPr>
          <w:rFonts w:ascii="宋体" w:hAnsi="宋体" w:eastAsia="宋体" w:cs="宋体"/>
          <w:color w:val="000000"/>
        </w:rPr>
        <w:t>）曾撰写《君主论》献给佛罗伦萨的统治者，认为荣誉是君主建功立业的目的；后来又著有《论李维》，主张通过共和制恢复和维护人的自由。由此可见，马基雅维利（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F813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试图构建未来理性王国蓝图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注重比较君主制与共和制异同</w:t>
      </w:r>
    </w:p>
    <w:p w14:paraId="621EA4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表达了基于人性的思想主张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描绘了欧洲地区二元政治格局</w:t>
      </w:r>
    </w:p>
    <w:p w14:paraId="46AFEE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在近代历史上，西方一些国家往往有这样的做法：在海外地区的海图和地图上“先傲慢地描绘一个地区，并强加上一个欧洲来源的名字，然后就等同于宣示了对其之所有权”。这一做法（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C002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避免了列强之间的纷争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缓和了与殖民地之间的矛盾</w:t>
      </w:r>
    </w:p>
    <w:p w14:paraId="3E5FC2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体现了霸权主义的本质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确立了“有效占领”的原则</w:t>
      </w:r>
    </w:p>
    <w:p w14:paraId="56308E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世纪末，东方的茶叶和西印度群岛种植园里的糖，成为英国人日常饮食的一部分。茶叶为英国人的生活增添了诸多雅趣，他们将糖与牛奶加入红茶中，别具匠心地调制成英式红茶。这表明（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88FB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全球联系的加强影响社会文化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亚非拉地区成为欧洲经济附庸</w:t>
      </w:r>
    </w:p>
    <w:p w14:paraId="2699A5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商品的流动加速资本原始积累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工业革命加剧了社会阶层分化</w:t>
      </w:r>
    </w:p>
    <w:p w14:paraId="1F3745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初，德意志制造同盟成立。该同盟通过与艺术家、设计师及制造企业间的合作，探索出德国制造的独特工艺技巧，在短时间内实现了提升德国工业品质量的目标，增强了德国工业在海外的扩张实力。这说明，当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EBA6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欧洲工业制造流行德国工艺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德国的文化创新助力工业发展</w:t>
      </w:r>
    </w:p>
    <w:p w14:paraId="7DABE7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德国国际地位依赖工业设计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欧洲强权博弈以文化竞争为主</w:t>
      </w:r>
    </w:p>
    <w:p w14:paraId="506983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年代，法国七位史学家推出了《法国当代史：身份与变化，从</w:t>
      </w:r>
      <w:r>
        <w:rPr>
          <w:rFonts w:ascii="Times New Roman" w:hAnsi="Times New Roman" w:eastAsia="Times New Roman" w:cs="Times New Roman"/>
          <w:color w:val="000000"/>
        </w:rPr>
        <w:t>1789</w:t>
      </w:r>
      <w:r>
        <w:rPr>
          <w:rFonts w:ascii="宋体" w:hAnsi="宋体" w:eastAsia="宋体" w:cs="宋体"/>
          <w:color w:val="000000"/>
        </w:rPr>
        <w:t>年至今》。该著作共有七个专题：导言，法国资本主义发展道路，法国人口问题的特殊性，</w:t>
      </w:r>
      <w:r>
        <w:rPr>
          <w:rFonts w:ascii="Times New Roman" w:hAnsi="Times New Roman" w:eastAsia="Times New Roman" w:cs="Times New Roman"/>
          <w:color w:val="000000"/>
        </w:rPr>
        <w:t>1789</w:t>
      </w:r>
      <w:r>
        <w:rPr>
          <w:rFonts w:ascii="宋体" w:hAnsi="宋体" w:eastAsia="宋体" w:cs="宋体"/>
          <w:color w:val="000000"/>
        </w:rPr>
        <w:t>年至</w:t>
      </w:r>
      <w:r>
        <w:rPr>
          <w:rFonts w:ascii="Times New Roman" w:hAnsi="Times New Roman" w:eastAsia="Times New Roman" w:cs="Times New Roman"/>
          <w:color w:val="000000"/>
        </w:rPr>
        <w:t>1980</w:t>
      </w:r>
      <w:r>
        <w:rPr>
          <w:rFonts w:ascii="宋体" w:hAnsi="宋体" w:eastAsia="宋体" w:cs="宋体"/>
          <w:color w:val="000000"/>
        </w:rPr>
        <w:t>年的法国农民，工人阶级的增长，法国国家、政权与民主，政党、政见与思潮。这可用以说明，当时法国史学家（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93D3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以编年体的形式叙述宏大历史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阐释历史运用了马克思主义的概念</w:t>
      </w:r>
    </w:p>
    <w:p w14:paraId="273B5B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已摆脱冷战思维对史学的影响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基于历史唯物主义撰写了法国通史</w:t>
      </w:r>
    </w:p>
    <w:p w14:paraId="441FBF65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C316C6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042C087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p w14:paraId="7853D6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23907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4CE3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秦汉时期西南部族分布示意图（局部）</w:t>
      </w:r>
    </w:p>
    <w:p w14:paraId="7EB4091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——摘编自韩茂莉《中国历史地理十五讲》</w:t>
      </w:r>
    </w:p>
    <w:p w14:paraId="7ABF46F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全面抗战爆发后，国民政府加强了以重庆为中心的公路交通建设，修筑了川滇东路、川滇西路、川中公路、川康公路和从重庆到汉中的汉渝公路。</w:t>
      </w:r>
      <w:r>
        <w:rPr>
          <w:rFonts w:ascii="Times New Roman" w:hAnsi="Times New Roman" w:eastAsia="Times New Roman" w:cs="Times New Roman"/>
          <w:color w:val="000000"/>
        </w:rPr>
        <w:t>1938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月，广州、武汉相继沦陷后，国民政府规划建设西南地区公路网，旨在联通湘、粤、桂、川、贵、滇各省，至</w:t>
      </w:r>
      <w:r>
        <w:rPr>
          <w:rFonts w:ascii="Times New Roman" w:hAnsi="Times New Roman" w:eastAsia="Times New Roman" w:cs="Times New Roman"/>
          <w:color w:val="000000"/>
        </w:rPr>
        <w:t>1941</w:t>
      </w:r>
      <w:r>
        <w:rPr>
          <w:rFonts w:ascii="楷体" w:hAnsi="楷体" w:eastAsia="楷体" w:cs="楷体"/>
          <w:color w:val="000000"/>
        </w:rPr>
        <w:t>年底，新修筑公路累计达</w:t>
      </w:r>
      <w:r>
        <w:rPr>
          <w:rFonts w:ascii="Times New Roman" w:hAnsi="Times New Roman" w:eastAsia="Times New Roman" w:cs="Times New Roman"/>
          <w:color w:val="000000"/>
        </w:rPr>
        <w:t>5000</w:t>
      </w:r>
      <w:r>
        <w:rPr>
          <w:rFonts w:ascii="楷体" w:hAnsi="楷体" w:eastAsia="楷体" w:cs="楷体"/>
          <w:color w:val="000000"/>
        </w:rPr>
        <w:t>余公里。国际交通方面，在西南修建桂越、滇越、滇缅、中印等交通线路。</w:t>
      </w:r>
    </w:p>
    <w:p w14:paraId="586BBC0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——摘编自步平、王建朗主编《中国抗日战争史》等</w:t>
      </w:r>
    </w:p>
    <w:p w14:paraId="272CB44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中华人民共和国成立后，党和国家把发展民族地区公路、铁路、航空等交通运输业摆在十分突出的位置。譬如，在公路建设方面，经过几年艰苦的修筑，世界闻名的康（川）藏公路和青藏公路于</w:t>
      </w:r>
      <w:r>
        <w:rPr>
          <w:rFonts w:ascii="Times New Roman" w:hAnsi="Times New Roman" w:eastAsia="Times New Roman" w:cs="Times New Roman"/>
          <w:color w:val="000000"/>
        </w:rPr>
        <w:t>1954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月同时通车，“所有这些，都是西藏破天荒的大好事”。</w:t>
      </w:r>
    </w:p>
    <w:p w14:paraId="51DF9F8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——摘编自瞿晓琳《新中国成立以来中国共产党领导的民族地区民生建设研究》</w:t>
      </w:r>
    </w:p>
    <w:p w14:paraId="5405EF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结合所学知识，概括材料一所反映的秦汉时期加强西南地区治理的措施。</w:t>
      </w:r>
    </w:p>
    <w:p w14:paraId="16D874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根据材料二并结合所学知识，分析抗日战争时期西南地区公路建设的特点及其作用。</w:t>
      </w:r>
    </w:p>
    <w:p w14:paraId="5E5CA5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根据材料三并结合所学知识，简述中华人民共和国成立初加强西南地区公路建设的意义。结合材料一、二、三，说明交通建设与国家治理的关系。</w:t>
      </w:r>
    </w:p>
    <w:p w14:paraId="68396D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7C5C54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自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年代至欧元诞生之前，欧洲货币危机频发，美元汇率波动对欧洲货币存在着单向冲击。对外战争和国际金融危机等削弱了美国的综合实力，美国占世界经济的比重不断降低。美元在国际金融体系中的地位开始下降，在全球外汇储备中，美元比重从</w:t>
      </w:r>
      <w:r>
        <w:rPr>
          <w:rFonts w:ascii="Times New Roman" w:hAnsi="Times New Roman" w:eastAsia="Times New Roman" w:cs="Times New Roman"/>
          <w:color w:val="000000"/>
        </w:rPr>
        <w:t>1999</w:t>
      </w:r>
      <w:r>
        <w:rPr>
          <w:rFonts w:ascii="楷体" w:hAnsi="楷体" w:eastAsia="楷体" w:cs="楷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72.7%</w:t>
      </w:r>
      <w:r>
        <w:rPr>
          <w:rFonts w:ascii="楷体" w:hAnsi="楷体" w:eastAsia="楷体" w:cs="楷体"/>
          <w:color w:val="000000"/>
        </w:rPr>
        <w:t>下降到</w:t>
      </w:r>
      <w:r>
        <w:rPr>
          <w:rFonts w:ascii="Times New Roman" w:hAnsi="Times New Roman" w:eastAsia="Times New Roman" w:cs="Times New Roman"/>
          <w:color w:val="000000"/>
        </w:rPr>
        <w:t>2008</w:t>
      </w:r>
      <w:r>
        <w:rPr>
          <w:rFonts w:ascii="楷体" w:hAnsi="楷体" w:eastAsia="楷体" w:cs="楷体"/>
          <w:color w:val="000000"/>
        </w:rPr>
        <w:t>年的</w:t>
      </w:r>
      <w:r>
        <w:rPr>
          <w:rFonts w:ascii="Times New Roman" w:hAnsi="Times New Roman" w:eastAsia="Times New Roman" w:cs="Times New Roman"/>
          <w:color w:val="000000"/>
        </w:rPr>
        <w:t>64%</w:t>
      </w:r>
      <w:r>
        <w:rPr>
          <w:rFonts w:ascii="楷体" w:hAnsi="楷体" w:eastAsia="楷体" w:cs="楷体"/>
          <w:color w:val="000000"/>
        </w:rPr>
        <w:t>，而欧元则由</w:t>
      </w:r>
      <w:r>
        <w:rPr>
          <w:rFonts w:ascii="Times New Roman" w:hAnsi="Times New Roman" w:eastAsia="Times New Roman" w:cs="Times New Roman"/>
          <w:color w:val="000000"/>
        </w:rPr>
        <w:t>16.7%</w:t>
      </w:r>
      <w:r>
        <w:rPr>
          <w:rFonts w:ascii="楷体" w:hAnsi="楷体" w:eastAsia="楷体" w:cs="楷体"/>
          <w:color w:val="000000"/>
        </w:rPr>
        <w:t>上升到</w:t>
      </w:r>
      <w:r>
        <w:rPr>
          <w:rFonts w:ascii="Times New Roman" w:hAnsi="Times New Roman" w:eastAsia="Times New Roman" w:cs="Times New Roman"/>
          <w:color w:val="000000"/>
        </w:rPr>
        <w:t>25.6%</w:t>
      </w:r>
      <w:r>
        <w:rPr>
          <w:rFonts w:ascii="楷体" w:hAnsi="楷体" w:eastAsia="楷体" w:cs="楷体"/>
          <w:color w:val="000000"/>
        </w:rPr>
        <w:t>，国际货币体系进入“美元—欧元双主导货币”的状态。在双主导条件下，其中任何一个主导货币滥发都会引起另一个大货币跟随，然后波及所有中小货币。美国和欧洲相继爆发的金融危机和债务危机，使得这两个主导货币比任何时候都有借口实行量化宽松政策，而其他各国不得不接受它们造成的任何后果。一些国家无法忍受旧秩序的约束甚至损害，凭上升的经济实力维护自己的利益。</w:t>
      </w:r>
    </w:p>
    <w:p w14:paraId="27AB6BA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——摘编自成思危，刘骏民《国际货币体系的演变逻辑》等</w:t>
      </w:r>
    </w:p>
    <w:p w14:paraId="5C8D2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根据材料并结合所学知识，说明二战后国际货币体系演变的特点。</w:t>
      </w:r>
    </w:p>
    <w:p w14:paraId="2F41A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根据材料并结合所学知识，简述评价国际货币体系应该持有的标准。</w:t>
      </w:r>
    </w:p>
    <w:p w14:paraId="62BBC58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6072FB8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宋仁宗嘉祐四年（</w:t>
      </w:r>
      <w:r>
        <w:rPr>
          <w:rFonts w:ascii="Times New Roman" w:hAnsi="Times New Roman" w:eastAsia="Times New Roman" w:cs="Times New Roman"/>
          <w:color w:val="000000"/>
        </w:rPr>
        <w:t>1059</w:t>
      </w:r>
      <w:r>
        <w:rPr>
          <w:rFonts w:ascii="楷体" w:hAnsi="楷体" w:eastAsia="楷体" w:cs="楷体"/>
          <w:color w:val="000000"/>
        </w:rPr>
        <w:t>），田子茂出生于山西忻州一普通农家，幼“颍异于群儿”“稍长则便能武事”。神宗元年年间（</w:t>
      </w:r>
      <w:r>
        <w:rPr>
          <w:rFonts w:ascii="Times New Roman" w:hAnsi="Times New Roman" w:eastAsia="Times New Roman" w:cs="Times New Roman"/>
          <w:color w:val="000000"/>
        </w:rPr>
        <w:t>1078</w:t>
      </w:r>
      <w:r>
        <w:rPr>
          <w:rFonts w:ascii="楷体" w:hAnsi="楷体" w:eastAsia="楷体" w:cs="楷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1085</w:t>
      </w:r>
      <w:r>
        <w:rPr>
          <w:rFonts w:ascii="楷体" w:hAnsi="楷体" w:eastAsia="楷体" w:cs="楷体"/>
          <w:color w:val="000000"/>
        </w:rPr>
        <w:t>），先为保甲体制下的保丁，后赴京应试，“天子临轩试之，中第一”，得以“补三班差使”。哲宗绍圣二年（</w:t>
      </w:r>
      <w:r>
        <w:rPr>
          <w:rFonts w:ascii="Times New Roman" w:hAnsi="Times New Roman" w:eastAsia="Times New Roman" w:cs="Times New Roman"/>
          <w:color w:val="000000"/>
        </w:rPr>
        <w:t>1095</w:t>
      </w:r>
      <w:r>
        <w:rPr>
          <w:rFonts w:ascii="楷体" w:hAnsi="楷体" w:eastAsia="楷体" w:cs="楷体"/>
          <w:color w:val="000000"/>
        </w:rPr>
        <w:t>）前后，先后担任泾源路第四将队将、鄌延路经略司准备差使等职。徽宗建中靖国元年（</w:t>
      </w:r>
      <w:r>
        <w:rPr>
          <w:rFonts w:ascii="Times New Roman" w:hAnsi="Times New Roman" w:eastAsia="Times New Roman" w:cs="Times New Roman"/>
          <w:color w:val="000000"/>
        </w:rPr>
        <w:t>1101</w:t>
      </w:r>
      <w:r>
        <w:rPr>
          <w:rFonts w:ascii="楷体" w:hAnsi="楷体" w:eastAsia="楷体" w:cs="楷体"/>
          <w:color w:val="000000"/>
        </w:rPr>
        <w:t>）因受改革派吕惠卿之案牵连，一度入狱，后无罪释放，被任命为“绥德军暖泉寒主”。徽宗崇宁四年（</w:t>
      </w:r>
      <w:r>
        <w:rPr>
          <w:rFonts w:ascii="Times New Roman" w:hAnsi="Times New Roman" w:eastAsia="Times New Roman" w:cs="Times New Roman"/>
          <w:color w:val="000000"/>
        </w:rPr>
        <w:t>1105</w:t>
      </w:r>
      <w:r>
        <w:rPr>
          <w:rFonts w:ascii="楷体" w:hAnsi="楷体" w:eastAsia="楷体" w:cs="楷体"/>
          <w:color w:val="000000"/>
        </w:rPr>
        <w:t>），在宋军收复银州（今陕西榆林南）战事中立有军功。徽宗政和四年（</w:t>
      </w:r>
      <w:r>
        <w:rPr>
          <w:rFonts w:ascii="Times New Roman" w:hAnsi="Times New Roman" w:eastAsia="Times New Roman" w:cs="Times New Roman"/>
          <w:color w:val="000000"/>
        </w:rPr>
        <w:t>1114</w:t>
      </w:r>
      <w:r>
        <w:rPr>
          <w:rFonts w:ascii="楷体" w:hAnsi="楷体" w:eastAsia="楷体" w:cs="楷体"/>
          <w:color w:val="000000"/>
        </w:rPr>
        <w:t>）去世，享年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rFonts w:ascii="楷体" w:hAnsi="楷体" w:eastAsia="楷体" w:cs="楷体"/>
          <w:color w:val="000000"/>
        </w:rPr>
        <w:t>岁。</w:t>
      </w:r>
    </w:p>
    <w:p w14:paraId="00977F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田子茂的生平是宋代某些历史场景的再现。从材料中提取历史信息，运用所学中国古代史知识，任选角度，自拟论题，加以阐释。（要求：论题明确，观点正确，史论结合，表述清晰）</w:t>
      </w:r>
    </w:p>
    <w:p w14:paraId="7C5A8A86">
      <w:pPr>
        <w:spacing w:line="285" w:lineRule="auto"/>
        <w:jc w:val="both"/>
        <w:textAlignment w:val="center"/>
        <w:rPr>
          <w:color w:val="000000"/>
        </w:rPr>
      </w:pPr>
    </w:p>
    <w:p w14:paraId="4DB7A8A1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65DA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950B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9BDE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2E60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DB84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BAF8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C55ECE"/>
    <w:rsid w:val="36253C97"/>
    <w:rsid w:val="38274566"/>
    <w:rsid w:val="568E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3810</Words>
  <Characters>4100</Characters>
  <Lines>0</Lines>
  <Paragraphs>0</Paragraphs>
  <TotalTime>0</TotalTime>
  <ScaleCrop>false</ScaleCrop>
  <LinksUpToDate>false</LinksUpToDate>
  <CharactersWithSpaces>4287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E5D13CDD73BA496A83CCE757AC6A7578_12</vt:lpwstr>
  </property>
</Properties>
</file>