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9DF8B">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12407900</wp:posOffset>
            </wp:positionV>
            <wp:extent cx="254000" cy="4445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54000" cy="444500"/>
                    </a:xfrm>
                    <a:prstGeom prst="rect">
                      <a:avLst/>
                    </a:prstGeom>
                  </pic:spPr>
                </pic:pic>
              </a:graphicData>
            </a:graphic>
          </wp:anchor>
        </w:drawing>
      </w:r>
      <w:r>
        <w:rPr>
          <w:rFonts w:ascii="宋体" w:hAnsi="宋体" w:eastAsia="宋体" w:cs="宋体"/>
          <w:b/>
          <w:color w:val="auto"/>
          <w:sz w:val="24"/>
        </w:rPr>
        <w:t>机密★启用前</w:t>
      </w:r>
    </w:p>
    <w:p w14:paraId="364C4FFC">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年辽宁省普通高等学校招生选择性考试</w:t>
      </w:r>
    </w:p>
    <w:p w14:paraId="17827966">
      <w:pPr>
        <w:spacing w:line="285" w:lineRule="auto"/>
        <w:jc w:val="center"/>
      </w:pPr>
      <w:r>
        <w:rPr>
          <w:rFonts w:ascii="宋体" w:hAnsi="宋体" w:eastAsia="宋体" w:cs="宋体"/>
          <w:b/>
          <w:color w:val="auto"/>
          <w:sz w:val="32"/>
        </w:rPr>
        <w:t>历史</w:t>
      </w:r>
    </w:p>
    <w:p w14:paraId="7C8D3BAF">
      <w:pPr>
        <w:spacing w:line="285"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7</w:t>
      </w:r>
      <w:r>
        <w:rPr>
          <w:rFonts w:ascii="宋体" w:hAnsi="宋体" w:eastAsia="宋体" w:cs="宋体"/>
          <w:b/>
          <w:color w:val="auto"/>
          <w:sz w:val="24"/>
        </w:rPr>
        <w:t>页。考试结束后，将本试卷和答题卡一并交回。</w:t>
      </w:r>
    </w:p>
    <w:p w14:paraId="5B605206">
      <w:pPr>
        <w:spacing w:line="285"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．答题前，考生先将自己的姓名、准考证号码填写清楚，将条形码准确粘贴在考生信息条形码粘贴区。</w:t>
      </w:r>
    </w:p>
    <w:p w14:paraId="4CFB928A">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毫米黑色字迹的签字笔书写，字体工整、笔迹清楚。</w:t>
      </w:r>
    </w:p>
    <w:p w14:paraId="64FA7690">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．请按照题号顺序在答题卡各题目的答题区域内作答，超出答题区域书写的答案无效；在草稿纸、试卷上答题无效。</w:t>
      </w:r>
    </w:p>
    <w:p w14:paraId="300F2379">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．作图可先使用铅笔画出，确定后必须用黑色字迹的签字笔描黑。</w:t>
      </w:r>
    </w:p>
    <w:p w14:paraId="737CDA1B">
      <w:pPr>
        <w:spacing w:line="285"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．保持卡面清洁，不要折叠，不要弄破、弄皱，不准使用涂改液、修正带、刮纸刀。</w:t>
      </w:r>
    </w:p>
    <w:p w14:paraId="79C17287">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分。在每小题给出的四个选项中，只有一项符合题目要求。</w:t>
      </w:r>
    </w:p>
    <w:p w14:paraId="35B31C58">
      <w:pPr>
        <w:spacing w:line="360" w:lineRule="auto"/>
        <w:jc w:val="both"/>
      </w:pPr>
      <w:r>
        <w:rPr>
          <w:color w:val="auto"/>
        </w:rPr>
        <w:t xml:space="preserve">1. </w:t>
      </w:r>
      <w:r>
        <w:rPr>
          <w:rFonts w:ascii="Times New Roman" w:hAnsi="Times New Roman" w:eastAsia="Times New Roman" w:cs="Times New Roman"/>
          <w:color w:val="auto"/>
        </w:rPr>
        <w:t>1921</w:t>
      </w:r>
      <w:r>
        <w:rPr>
          <w:rFonts w:ascii="宋体" w:hAnsi="宋体" w:eastAsia="宋体" w:cs="宋体"/>
          <w:color w:val="auto"/>
        </w:rPr>
        <w:t>年，有学者在奉天（今辽宁）沙锅屯发掘了一处穴居遗址，认为“此一奉天穴居之留遗，与彼一河南遗址，不特时代上大致同期，且正属于同一</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民族与文化的部类，即吾所谓仰韶文化者也”。这一判断的主要依据应是该遗址出土了（</w:t>
      </w:r>
      <w:r>
        <w:rPr>
          <w:rFonts w:ascii="Times New Roman" w:hAnsi="Times New Roman" w:eastAsia="Times New Roman" w:cs="Times New Roman"/>
          <w:color w:val="auto"/>
        </w:rPr>
        <w:t xml:space="preserve">   </w:t>
      </w:r>
      <w:r>
        <w:rPr>
          <w:rFonts w:ascii="宋体" w:hAnsi="宋体" w:eastAsia="宋体" w:cs="宋体"/>
          <w:color w:val="auto"/>
        </w:rPr>
        <w:t>）</w:t>
      </w:r>
    </w:p>
    <w:p w14:paraId="0A0ED1B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骨制凿刀</w:t>
      </w:r>
      <w:r>
        <w:tab/>
      </w:r>
      <w:r>
        <w:t xml:space="preserve">B. </w:t>
      </w:r>
      <w:r>
        <w:rPr>
          <w:rFonts w:ascii="宋体" w:hAnsi="宋体" w:eastAsia="宋体" w:cs="宋体"/>
          <w:color w:val="auto"/>
        </w:rPr>
        <w:t>燧石石器</w:t>
      </w:r>
      <w:r>
        <w:tab/>
      </w:r>
      <w:r>
        <w:t xml:space="preserve">C. </w:t>
      </w:r>
      <w:r>
        <w:rPr>
          <w:rFonts w:ascii="宋体" w:hAnsi="宋体" w:eastAsia="宋体" w:cs="宋体"/>
          <w:color w:val="auto"/>
        </w:rPr>
        <w:t>碳化稻粒</w:t>
      </w:r>
      <w:r>
        <w:tab/>
      </w:r>
      <w:r>
        <w:t xml:space="preserve">D. </w:t>
      </w:r>
      <w:r>
        <w:rPr>
          <w:rFonts w:ascii="宋体" w:hAnsi="宋体" w:eastAsia="宋体" w:cs="宋体"/>
          <w:color w:val="auto"/>
        </w:rPr>
        <w:t>彩陶残片</w:t>
      </w:r>
    </w:p>
    <w:p w14:paraId="282E3267">
      <w:pPr>
        <w:spacing w:line="360" w:lineRule="auto"/>
        <w:jc w:val="both"/>
        <w:textAlignment w:val="center"/>
        <w:rPr>
          <w:color w:val="000000"/>
        </w:rPr>
      </w:pPr>
      <w:r>
        <w:rPr>
          <w:color w:val="000000"/>
        </w:rPr>
        <w:t xml:space="preserve">2. </w:t>
      </w:r>
      <w:r>
        <w:rPr>
          <w:rFonts w:ascii="宋体" w:hAnsi="宋体" w:eastAsia="宋体" w:cs="宋体"/>
          <w:color w:val="000000"/>
        </w:rPr>
        <w:t>下表是北魏皇族女性墓志</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部分内容。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0"/>
        <w:gridCol w:w="5280"/>
      </w:tblGrid>
      <w:tr w14:paraId="7B473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8CFA38">
            <w:pPr>
              <w:spacing w:line="360" w:lineRule="auto"/>
              <w:jc w:val="center"/>
              <w:textAlignment w:val="center"/>
              <w:rPr>
                <w:color w:val="000000"/>
              </w:rPr>
            </w:pPr>
            <w:r>
              <w:rPr>
                <w:rFonts w:ascii="宋体" w:hAnsi="宋体" w:eastAsia="宋体" w:cs="宋体"/>
                <w:color w:val="000000"/>
              </w:rPr>
              <w:t>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BF0FD9">
            <w:pPr>
              <w:spacing w:line="360" w:lineRule="auto"/>
              <w:jc w:val="center"/>
              <w:textAlignment w:val="center"/>
              <w:rPr>
                <w:color w:val="000000"/>
              </w:rPr>
            </w:pPr>
            <w:r>
              <w:rPr>
                <w:rFonts w:ascii="宋体" w:hAnsi="宋体" w:eastAsia="宋体" w:cs="宋体"/>
                <w:color w:val="000000"/>
              </w:rPr>
              <w:t>内容</w:t>
            </w:r>
          </w:p>
        </w:tc>
      </w:tr>
      <w:tr w14:paraId="6EC38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1B18F0">
            <w:pPr>
              <w:spacing w:line="360" w:lineRule="auto"/>
              <w:jc w:val="left"/>
              <w:textAlignment w:val="center"/>
              <w:rPr>
                <w:color w:val="000000"/>
              </w:rPr>
            </w:pPr>
            <w:r>
              <w:rPr>
                <w:rFonts w:ascii="宋体" w:hAnsi="宋体" w:eastAsia="宋体" w:cs="宋体"/>
                <w:color w:val="000000"/>
              </w:rPr>
              <w:t>将军冯邕之妻元氏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A02BF">
            <w:pPr>
              <w:spacing w:line="360" w:lineRule="auto"/>
              <w:jc w:val="left"/>
              <w:textAlignment w:val="center"/>
              <w:rPr>
                <w:color w:val="000000"/>
              </w:rPr>
            </w:pPr>
            <w:r>
              <w:rPr>
                <w:rFonts w:ascii="宋体" w:hAnsi="宋体" w:eastAsia="宋体" w:cs="宋体"/>
                <w:color w:val="000000"/>
              </w:rPr>
              <w:t>母义三恪，道著二王，肃穆闺闱，见重君子</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tc>
      </w:tr>
      <w:tr w14:paraId="4BBAA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48A10">
            <w:pPr>
              <w:spacing w:line="360" w:lineRule="auto"/>
              <w:jc w:val="left"/>
              <w:textAlignment w:val="center"/>
              <w:rPr>
                <w:color w:val="000000"/>
              </w:rPr>
            </w:pPr>
            <w:r>
              <w:rPr>
                <w:rFonts w:ascii="宋体" w:hAnsi="宋体" w:eastAsia="宋体" w:cs="宋体"/>
                <w:color w:val="000000"/>
              </w:rPr>
              <w:t>长乐长公主元瑛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58005">
            <w:pPr>
              <w:spacing w:line="360" w:lineRule="auto"/>
              <w:jc w:val="left"/>
              <w:textAlignment w:val="center"/>
              <w:rPr>
                <w:color w:val="000000"/>
              </w:rPr>
            </w:pPr>
            <w:r>
              <w:rPr>
                <w:rFonts w:ascii="宋体" w:hAnsi="宋体" w:eastAsia="宋体" w:cs="宋体"/>
                <w:color w:val="000000"/>
              </w:rPr>
              <w:t>六行允备，四德无违，孝友出于自然，柔恭表于天性。</w:t>
            </w:r>
          </w:p>
        </w:tc>
      </w:tr>
      <w:tr w14:paraId="13FE7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1BB3D">
            <w:pPr>
              <w:spacing w:line="360" w:lineRule="auto"/>
              <w:jc w:val="left"/>
              <w:textAlignment w:val="center"/>
              <w:rPr>
                <w:color w:val="000000"/>
              </w:rPr>
            </w:pPr>
            <w:r>
              <w:rPr>
                <w:rFonts w:ascii="宋体" w:hAnsi="宋体" w:eastAsia="宋体" w:cs="宋体"/>
                <w:color w:val="000000"/>
              </w:rPr>
              <w:t>乐安郡公主元仲英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7E357">
            <w:pPr>
              <w:spacing w:line="360" w:lineRule="auto"/>
              <w:jc w:val="left"/>
              <w:textAlignment w:val="center"/>
              <w:rPr>
                <w:color w:val="000000"/>
              </w:rPr>
            </w:pPr>
            <w:r>
              <w:rPr>
                <w:rFonts w:ascii="宋体" w:hAnsi="宋体" w:eastAsia="宋体" w:cs="宋体"/>
                <w:color w:val="000000"/>
              </w:rPr>
              <w:t>女节茂于公宫，妇道显于邦国。</w:t>
            </w:r>
          </w:p>
        </w:tc>
      </w:tr>
    </w:tbl>
    <w:p w14:paraId="241641A3">
      <w:pPr>
        <w:spacing w:line="360" w:lineRule="auto"/>
        <w:jc w:val="both"/>
        <w:textAlignment w:val="center"/>
        <w:rPr>
          <w:color w:val="000000"/>
        </w:rPr>
      </w:pPr>
      <w:r>
        <w:rPr>
          <w:rFonts w:ascii="宋体" w:hAnsi="宋体" w:eastAsia="宋体" w:cs="宋体"/>
          <w:color w:val="000000"/>
        </w:rPr>
        <w:t>该表反映了当时（</w:t>
      </w:r>
      <w:r>
        <w:rPr>
          <w:rFonts w:ascii="Times New Roman" w:hAnsi="Times New Roman" w:eastAsia="Times New Roman" w:cs="Times New Roman"/>
          <w:color w:val="000000"/>
        </w:rPr>
        <w:t xml:space="preserve">   </w:t>
      </w:r>
      <w:r>
        <w:rPr>
          <w:rFonts w:ascii="宋体" w:hAnsi="宋体" w:eastAsia="宋体" w:cs="宋体"/>
          <w:color w:val="000000"/>
        </w:rPr>
        <w:t>）</w:t>
      </w:r>
    </w:p>
    <w:p w14:paraId="7346EB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门第观念得到强化</w:t>
      </w:r>
      <w:r>
        <w:rPr>
          <w:color w:val="000000"/>
        </w:rPr>
        <w:tab/>
      </w:r>
      <w:r>
        <w:rPr>
          <w:color w:val="000000"/>
        </w:rPr>
        <w:t xml:space="preserve">B. </w:t>
      </w:r>
      <w:r>
        <w:rPr>
          <w:rFonts w:ascii="宋体" w:hAnsi="宋体" w:eastAsia="宋体" w:cs="宋体"/>
          <w:color w:val="000000"/>
        </w:rPr>
        <w:t>因俗而治政策得到推广</w:t>
      </w:r>
    </w:p>
    <w:p w14:paraId="3C6DD01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礼仪规范得到传承</w:t>
      </w:r>
      <w:r>
        <w:rPr>
          <w:color w:val="000000"/>
        </w:rPr>
        <w:tab/>
      </w:r>
      <w:r>
        <w:rPr>
          <w:color w:val="000000"/>
        </w:rPr>
        <w:t xml:space="preserve">D. </w:t>
      </w:r>
      <w:r>
        <w:rPr>
          <w:rFonts w:ascii="宋体" w:hAnsi="宋体" w:eastAsia="宋体" w:cs="宋体"/>
          <w:color w:val="000000"/>
        </w:rPr>
        <w:t>儒家伦理道德得到认同</w:t>
      </w:r>
    </w:p>
    <w:p w14:paraId="1D12BB2F">
      <w:pPr>
        <w:spacing w:line="360" w:lineRule="auto"/>
        <w:jc w:val="both"/>
        <w:textAlignment w:val="center"/>
        <w:rPr>
          <w:color w:val="000000"/>
        </w:rPr>
      </w:pPr>
      <w:r>
        <w:rPr>
          <w:color w:val="000000"/>
        </w:rPr>
        <w:t xml:space="preserve">3. </w:t>
      </w:r>
      <w:r>
        <w:rPr>
          <w:rFonts w:ascii="宋体" w:hAnsi="宋体" w:eastAsia="宋体" w:cs="宋体"/>
          <w:color w:val="000000"/>
        </w:rPr>
        <w:t>唐代宗大历初年，国子司业归崇敬上疏提出，明经科考试“不求其文义，及第先取于帖经”，士子为了应试，多死记硬背儒家经典，不从师不问道，遂使“专门业废”“传受义绝”。其所强调的是（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41023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明经科考试改革的必要性</w:t>
      </w:r>
      <w:r>
        <w:rPr>
          <w:color w:val="000000"/>
        </w:rPr>
        <w:tab/>
      </w:r>
      <w:r>
        <w:rPr>
          <w:color w:val="000000"/>
        </w:rPr>
        <w:t xml:space="preserve">B. </w:t>
      </w:r>
      <w:r>
        <w:rPr>
          <w:rFonts w:ascii="宋体" w:hAnsi="宋体" w:eastAsia="宋体" w:cs="宋体"/>
          <w:color w:val="000000"/>
        </w:rPr>
        <w:t>复兴儒学的紧迫性</w:t>
      </w:r>
    </w:p>
    <w:p w14:paraId="7AE953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进士科考试内容的合理性</w:t>
      </w:r>
      <w:r>
        <w:rPr>
          <w:color w:val="000000"/>
        </w:rPr>
        <w:tab/>
      </w:r>
      <w:r>
        <w:rPr>
          <w:color w:val="000000"/>
        </w:rPr>
        <w:t xml:space="preserve">D. </w:t>
      </w:r>
      <w:r>
        <w:rPr>
          <w:rFonts w:ascii="宋体" w:hAnsi="宋体" w:eastAsia="宋体" w:cs="宋体"/>
          <w:color w:val="000000"/>
        </w:rPr>
        <w:t>官学教育的重要性</w:t>
      </w:r>
    </w:p>
    <w:p w14:paraId="564CB26E">
      <w:pPr>
        <w:spacing w:line="360" w:lineRule="auto"/>
        <w:jc w:val="both"/>
        <w:textAlignment w:val="center"/>
        <w:rPr>
          <w:color w:val="000000"/>
        </w:rPr>
      </w:pPr>
      <w:r>
        <w:rPr>
          <w:color w:val="000000"/>
        </w:rPr>
        <w:t xml:space="preserve">4. </w:t>
      </w:r>
      <w:r>
        <w:rPr>
          <w:rFonts w:ascii="宋体" w:hAnsi="宋体" w:eastAsia="宋体" w:cs="宋体"/>
          <w:color w:val="000000"/>
        </w:rPr>
        <w:t>赦书是朝廷颁布赦令的文告。宋仁宗天圣二年（</w:t>
      </w:r>
      <w:r>
        <w:rPr>
          <w:rFonts w:ascii="Times New Roman" w:hAnsi="Times New Roman" w:eastAsia="Times New Roman" w:cs="Times New Roman"/>
          <w:color w:val="000000"/>
        </w:rPr>
        <w:t>1024</w:t>
      </w:r>
      <w:r>
        <w:rPr>
          <w:rFonts w:ascii="宋体" w:hAnsi="宋体" w:eastAsia="宋体" w:cs="宋体"/>
          <w:color w:val="000000"/>
        </w:rPr>
        <w:t>年），因赦书由书吏抄录多有差错，致使地方州县“错认刑名，失行恩赏”，遂下诏“自今赦书，令刑部摹印颁行”。由此赦书“勒楷书写本”，经勘读后雕版“印造发递”。此举有助于（</w:t>
      </w:r>
      <w:r>
        <w:rPr>
          <w:rFonts w:ascii="Times New Roman" w:hAnsi="Times New Roman" w:eastAsia="Times New Roman" w:cs="Times New Roman"/>
          <w:color w:val="000000"/>
        </w:rPr>
        <w:t xml:space="preserve">   </w:t>
      </w:r>
      <w:r>
        <w:rPr>
          <w:rFonts w:ascii="宋体" w:hAnsi="宋体" w:eastAsia="宋体" w:cs="宋体"/>
          <w:color w:val="000000"/>
        </w:rPr>
        <w:t>）</w:t>
      </w:r>
    </w:p>
    <w:p w14:paraId="58057DC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扩大朝廷政令推行范围</w:t>
      </w:r>
      <w:r>
        <w:rPr>
          <w:color w:val="000000"/>
        </w:rPr>
        <w:tab/>
      </w:r>
      <w:r>
        <w:rPr>
          <w:color w:val="000000"/>
        </w:rPr>
        <w:t xml:space="preserve">B. </w:t>
      </w:r>
      <w:r>
        <w:rPr>
          <w:rFonts w:ascii="宋体" w:hAnsi="宋体" w:eastAsia="宋体" w:cs="宋体"/>
          <w:color w:val="000000"/>
        </w:rPr>
        <w:t>提高国家行政管理能力</w:t>
      </w:r>
    </w:p>
    <w:p w14:paraId="36E405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强化地方民众法律意识</w:t>
      </w:r>
      <w:r>
        <w:rPr>
          <w:color w:val="000000"/>
        </w:rPr>
        <w:tab/>
      </w:r>
      <w:r>
        <w:rPr>
          <w:color w:val="000000"/>
        </w:rPr>
        <w:t xml:space="preserve">D. </w:t>
      </w:r>
      <w:r>
        <w:rPr>
          <w:rFonts w:ascii="宋体" w:hAnsi="宋体" w:eastAsia="宋体" w:cs="宋体"/>
          <w:color w:val="000000"/>
        </w:rPr>
        <w:t>完善朝廷文书传递体系</w:t>
      </w:r>
    </w:p>
    <w:p w14:paraId="54EC7E3D">
      <w:pPr>
        <w:spacing w:line="360" w:lineRule="auto"/>
        <w:jc w:val="both"/>
        <w:textAlignment w:val="center"/>
        <w:rPr>
          <w:color w:val="000000"/>
        </w:rPr>
      </w:pPr>
      <w:r>
        <w:rPr>
          <w:color w:val="000000"/>
        </w:rPr>
        <w:t xml:space="preserve">5. </w:t>
      </w:r>
      <w:r>
        <w:rPr>
          <w:rFonts w:ascii="宋体" w:hAnsi="宋体" w:eastAsia="宋体" w:cs="宋体"/>
          <w:color w:val="000000"/>
        </w:rPr>
        <w:t>元代官员对上都有如下描述：“在市者，则四方之商贾，与百工之事为多……奇货用物，本末纤巨，莫不毕至。”下列描写上都的诗句中，可与该描述互证的是（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099B1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西关轮舆多似雨，东关账房乱如云</w:t>
      </w:r>
      <w:r>
        <w:rPr>
          <w:color w:val="000000"/>
        </w:rPr>
        <w:tab/>
      </w:r>
      <w:r>
        <w:rPr>
          <w:color w:val="000000"/>
        </w:rPr>
        <w:t xml:space="preserve">B. </w:t>
      </w:r>
      <w:r>
        <w:rPr>
          <w:rFonts w:ascii="宋体" w:hAnsi="宋体" w:eastAsia="宋体" w:cs="宋体"/>
          <w:color w:val="000000"/>
        </w:rPr>
        <w:t>王畿千里近，御苑四时春</w:t>
      </w:r>
    </w:p>
    <w:p w14:paraId="093978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黄鹂声绝孤雁鸣，万骑千车互来去</w:t>
      </w:r>
      <w:r>
        <w:rPr>
          <w:color w:val="000000"/>
        </w:rPr>
        <w:tab/>
      </w:r>
      <w:r>
        <w:rPr>
          <w:color w:val="000000"/>
        </w:rPr>
        <w:t xml:space="preserve">D. </w:t>
      </w:r>
      <w:r>
        <w:rPr>
          <w:rFonts w:ascii="宋体" w:hAnsi="宋体" w:eastAsia="宋体" w:cs="宋体"/>
          <w:color w:val="000000"/>
        </w:rPr>
        <w:t>向来冰雪窟，今作帝王州</w:t>
      </w:r>
    </w:p>
    <w:p w14:paraId="206AB7FC">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1878</w:t>
      </w:r>
      <w:r>
        <w:rPr>
          <w:rFonts w:ascii="宋体" w:hAnsi="宋体" w:eastAsia="宋体" w:cs="宋体"/>
          <w:color w:val="000000"/>
        </w:rPr>
        <w:t>年，左宗棠上《复陈新疆情形折》，建议在新疆广设义塾，教授汉文，使民众“略识字义”，“征收所用券票，其户民数目，汉文居中，旁行兼注回字，令户民易晓”。这一建议旨在（</w:t>
      </w:r>
      <w:r>
        <w:rPr>
          <w:rFonts w:ascii="Times New Roman" w:hAnsi="Times New Roman" w:eastAsia="Times New Roman" w:cs="Times New Roman"/>
          <w:color w:val="000000"/>
        </w:rPr>
        <w:t xml:space="preserve">   </w:t>
      </w:r>
      <w:r>
        <w:rPr>
          <w:rFonts w:ascii="宋体" w:hAnsi="宋体" w:eastAsia="宋体" w:cs="宋体"/>
          <w:color w:val="000000"/>
        </w:rPr>
        <w:t>）</w:t>
      </w:r>
    </w:p>
    <w:p w14:paraId="105652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改革税收制度</w:t>
      </w:r>
      <w:r>
        <w:rPr>
          <w:color w:val="000000"/>
        </w:rPr>
        <w:tab/>
      </w:r>
      <w:r>
        <w:rPr>
          <w:color w:val="000000"/>
        </w:rPr>
        <w:t xml:space="preserve">B. </w:t>
      </w:r>
      <w:r>
        <w:rPr>
          <w:rFonts w:ascii="宋体" w:hAnsi="宋体" w:eastAsia="宋体" w:cs="宋体"/>
          <w:color w:val="000000"/>
        </w:rPr>
        <w:t>改进教育方法</w:t>
      </w:r>
      <w:r>
        <w:rPr>
          <w:color w:val="000000"/>
        </w:rPr>
        <w:tab/>
      </w:r>
      <w:r>
        <w:rPr>
          <w:color w:val="000000"/>
        </w:rPr>
        <w:t xml:space="preserve">C. </w:t>
      </w:r>
      <w:r>
        <w:rPr>
          <w:rFonts w:ascii="宋体" w:hAnsi="宋体" w:eastAsia="宋体" w:cs="宋体"/>
          <w:color w:val="000000"/>
        </w:rPr>
        <w:t>增强国家认同</w:t>
      </w:r>
      <w:r>
        <w:rPr>
          <w:color w:val="000000"/>
        </w:rPr>
        <w:tab/>
      </w:r>
      <w:r>
        <w:rPr>
          <w:color w:val="000000"/>
        </w:rPr>
        <w:t xml:space="preserve">D. </w:t>
      </w:r>
      <w:r>
        <w:rPr>
          <w:rFonts w:ascii="宋体" w:hAnsi="宋体" w:eastAsia="宋体" w:cs="宋体"/>
          <w:color w:val="000000"/>
        </w:rPr>
        <w:t>引导社会风尚</w:t>
      </w:r>
    </w:p>
    <w:p w14:paraId="7C0EA800">
      <w:pPr>
        <w:spacing w:line="360" w:lineRule="auto"/>
        <w:jc w:val="both"/>
        <w:textAlignment w:val="center"/>
        <w:rPr>
          <w:color w:val="000000"/>
        </w:rPr>
      </w:pPr>
      <w:r>
        <w:rPr>
          <w:color w:val="000000"/>
        </w:rPr>
        <w:t xml:space="preserve">7. </w:t>
      </w:r>
      <w:r>
        <w:rPr>
          <w:rFonts w:ascii="宋体" w:hAnsi="宋体" w:eastAsia="宋体" w:cs="宋体"/>
          <w:color w:val="000000"/>
        </w:rPr>
        <w:t>如图是刊登在</w:t>
      </w:r>
      <w:r>
        <w:rPr>
          <w:rFonts w:ascii="Times New Roman" w:hAnsi="Times New Roman" w:eastAsia="Times New Roman" w:cs="Times New Roman"/>
          <w:color w:val="000000"/>
        </w:rPr>
        <w:t>1909</w:t>
      </w:r>
      <w:r>
        <w:rPr>
          <w:rFonts w:ascii="宋体" w:hAnsi="宋体" w:eastAsia="宋体" w:cs="宋体"/>
          <w:color w:val="000000"/>
        </w:rPr>
        <w:t>年《图画日报》上的系列寓意画。</w:t>
      </w:r>
    </w:p>
    <w:p w14:paraId="47340F88">
      <w:pPr>
        <w:spacing w:line="360" w:lineRule="auto"/>
        <w:jc w:val="both"/>
        <w:textAlignment w:val="center"/>
        <w:rPr>
          <w:color w:val="000000"/>
        </w:rPr>
      </w:pPr>
      <w:r>
        <w:rPr>
          <w:color w:val="000000"/>
        </w:rPr>
        <w:drawing>
          <wp:inline distT="0" distB="0" distL="114300" distR="114300">
            <wp:extent cx="2924175" cy="2724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924175" cy="2724150"/>
                    </a:xfrm>
                    <a:prstGeom prst="rect">
                      <a:avLst/>
                    </a:prstGeom>
                  </pic:spPr>
                </pic:pic>
              </a:graphicData>
            </a:graphic>
          </wp:inline>
        </w:drawing>
      </w:r>
    </w:p>
    <w:p w14:paraId="3A75197A">
      <w:pPr>
        <w:spacing w:line="360" w:lineRule="auto"/>
        <w:jc w:val="both"/>
        <w:textAlignment w:val="center"/>
        <w:rPr>
          <w:color w:val="000000"/>
        </w:rPr>
      </w:pPr>
      <w:r>
        <w:rPr>
          <w:rFonts w:ascii="宋体" w:hAnsi="宋体" w:eastAsia="宋体" w:cs="宋体"/>
          <w:color w:val="000000"/>
        </w:rPr>
        <w:t>该系列寓意画反映了（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41B677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国人振兴经济救国强国的愿望</w:t>
      </w:r>
      <w:r>
        <w:rPr>
          <w:color w:val="000000"/>
        </w:rPr>
        <w:tab/>
      </w:r>
      <w:r>
        <w:rPr>
          <w:color w:val="000000"/>
        </w:rPr>
        <w:t xml:space="preserve">B. </w:t>
      </w:r>
      <w:r>
        <w:rPr>
          <w:rFonts w:ascii="宋体" w:hAnsi="宋体" w:eastAsia="宋体" w:cs="宋体"/>
          <w:color w:val="000000"/>
        </w:rPr>
        <w:t>一战期间民族经济发展较快</w:t>
      </w:r>
    </w:p>
    <w:p w14:paraId="0F1CFD2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帝国主义的经济侵略日益加深</w:t>
      </w:r>
      <w:r>
        <w:rPr>
          <w:color w:val="000000"/>
        </w:rPr>
        <w:tab/>
      </w:r>
      <w:r>
        <w:rPr>
          <w:color w:val="000000"/>
        </w:rPr>
        <w:t xml:space="preserve">D. </w:t>
      </w:r>
      <w:r>
        <w:rPr>
          <w:rFonts w:ascii="宋体" w:hAnsi="宋体" w:eastAsia="宋体" w:cs="宋体"/>
          <w:color w:val="000000"/>
        </w:rPr>
        <w:t>清政府解决财政危机的信心</w:t>
      </w:r>
    </w:p>
    <w:p w14:paraId="677FA00C">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1069</w:t>
      </w:r>
      <w:r>
        <w:rPr>
          <w:rFonts w:ascii="宋体" w:hAnsi="宋体" w:eastAsia="宋体" w:cs="宋体"/>
          <w:color w:val="000000"/>
        </w:rPr>
        <w:t>年，日本后三条天皇颁布法令，规定取缔非法庄园。为此，天皇成立“记录庄园券契所”，任命亲信担任官员，对庄园文书进行严格审查，如果庄园领主相关文书不全，其庄园将被没收。这一措施意在（</w:t>
      </w:r>
      <w:r>
        <w:rPr>
          <w:rFonts w:ascii="Times New Roman" w:hAnsi="Times New Roman" w:eastAsia="Times New Roman" w:cs="Times New Roman"/>
          <w:color w:val="000000"/>
        </w:rPr>
        <w:t xml:space="preserve">   </w:t>
      </w:r>
      <w:r>
        <w:rPr>
          <w:rFonts w:ascii="宋体" w:hAnsi="宋体" w:eastAsia="宋体" w:cs="宋体"/>
          <w:color w:val="000000"/>
        </w:rPr>
        <w:t>）</w:t>
      </w:r>
    </w:p>
    <w:p w14:paraId="4B31A9B7">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遏制地方官员贪腐</w:t>
      </w:r>
      <w:r>
        <w:rPr>
          <w:color w:val="000000"/>
        </w:rPr>
        <w:tab/>
      </w:r>
      <w:r>
        <w:rPr>
          <w:color w:val="000000"/>
        </w:rPr>
        <w:t xml:space="preserve">B. </w:t>
      </w:r>
      <w:r>
        <w:rPr>
          <w:rFonts w:ascii="宋体" w:hAnsi="宋体" w:eastAsia="宋体" w:cs="宋体"/>
          <w:color w:val="000000"/>
        </w:rPr>
        <w:t>稳定封建主从关系</w:t>
      </w:r>
    </w:p>
    <w:p w14:paraId="349DC14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维护法律政令统一</w:t>
      </w:r>
      <w:r>
        <w:rPr>
          <w:color w:val="000000"/>
        </w:rPr>
        <w:tab/>
      </w:r>
      <w:r>
        <w:rPr>
          <w:color w:val="000000"/>
        </w:rPr>
        <w:t xml:space="preserve">D. </w:t>
      </w:r>
      <w:r>
        <w:rPr>
          <w:rFonts w:ascii="宋体" w:hAnsi="宋体" w:eastAsia="宋体" w:cs="宋体"/>
          <w:color w:val="000000"/>
        </w:rPr>
        <w:t>加强朝廷经济基础</w:t>
      </w:r>
    </w:p>
    <w:p w14:paraId="5030DC22">
      <w:pPr>
        <w:spacing w:line="360" w:lineRule="auto"/>
        <w:jc w:val="both"/>
        <w:textAlignment w:val="center"/>
        <w:rPr>
          <w:color w:val="000000"/>
        </w:rPr>
      </w:pPr>
      <w:r>
        <w:rPr>
          <w:color w:val="000000"/>
        </w:rPr>
        <w:t xml:space="preserve">9. </w:t>
      </w:r>
      <w:r>
        <w:rPr>
          <w:rFonts w:ascii="宋体" w:hAnsi="宋体" w:eastAsia="宋体" w:cs="宋体"/>
          <w:color w:val="000000"/>
        </w:rPr>
        <w:t>普鲁士国王弗里德里希二世（</w:t>
      </w:r>
      <w:r>
        <w:rPr>
          <w:rFonts w:ascii="Times New Roman" w:hAnsi="Times New Roman" w:eastAsia="Times New Roman" w:cs="Times New Roman"/>
          <w:color w:val="000000"/>
        </w:rPr>
        <w:t>1740</w:t>
      </w:r>
      <w:r>
        <w:rPr>
          <w:rFonts w:ascii="宋体" w:hAnsi="宋体" w:eastAsia="宋体" w:cs="宋体"/>
          <w:color w:val="000000"/>
        </w:rPr>
        <w:t>—</w:t>
      </w:r>
      <w:r>
        <w:rPr>
          <w:rFonts w:ascii="Times New Roman" w:hAnsi="Times New Roman" w:eastAsia="Times New Roman" w:cs="Times New Roman"/>
          <w:color w:val="000000"/>
        </w:rPr>
        <w:t>1786</w:t>
      </w:r>
      <w:r>
        <w:rPr>
          <w:rFonts w:ascii="宋体" w:hAnsi="宋体" w:eastAsia="宋体" w:cs="宋体"/>
          <w:color w:val="000000"/>
        </w:rPr>
        <w:t>年在位）自称“国家的第一公仆”，提倡理性主义的统治，在立法、司法、教育、经济等方面推行改革。同时，他又对官员说：“你们绝没有任何主动权，一切事必须直接通报我”。这种统治风格体现了（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0D0DB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平民主义与贵族传统的结合</w:t>
      </w:r>
      <w:r>
        <w:rPr>
          <w:color w:val="000000"/>
        </w:rPr>
        <w:tab/>
      </w:r>
      <w:r>
        <w:rPr>
          <w:color w:val="000000"/>
        </w:rPr>
        <w:t xml:space="preserve">B. </w:t>
      </w:r>
      <w:r>
        <w:rPr>
          <w:rFonts w:ascii="宋体" w:hAnsi="宋体" w:eastAsia="宋体" w:cs="宋体"/>
          <w:color w:val="000000"/>
        </w:rPr>
        <w:t>科学精神与神权主义的融合</w:t>
      </w:r>
    </w:p>
    <w:p w14:paraId="7DA12EA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启蒙思想与专制主义的杂糅</w:t>
      </w:r>
      <w:r>
        <w:rPr>
          <w:color w:val="000000"/>
        </w:rPr>
        <w:tab/>
      </w:r>
      <w:r>
        <w:rPr>
          <w:color w:val="000000"/>
        </w:rPr>
        <w:t xml:space="preserve">D. </w:t>
      </w:r>
      <w:r>
        <w:rPr>
          <w:rFonts w:ascii="宋体" w:hAnsi="宋体" w:eastAsia="宋体" w:cs="宋体"/>
          <w:color w:val="000000"/>
        </w:rPr>
        <w:t>激进思想与保守主义的妥协</w:t>
      </w:r>
    </w:p>
    <w:p w14:paraId="3F2D54F0">
      <w:pPr>
        <w:spacing w:line="360" w:lineRule="auto"/>
        <w:jc w:val="both"/>
        <w:textAlignment w:val="center"/>
        <w:rPr>
          <w:color w:val="000000"/>
        </w:rPr>
      </w:pPr>
      <w:r>
        <w:rPr>
          <w:color w:val="000000"/>
        </w:rPr>
        <w:t xml:space="preserve">10. </w:t>
      </w:r>
      <w:r>
        <w:rPr>
          <w:rFonts w:ascii="宋体" w:hAnsi="宋体" w:eastAsia="宋体" w:cs="宋体"/>
          <w:color w:val="000000"/>
        </w:rPr>
        <w:t>如图是某书封面使用的漫画。</w:t>
      </w:r>
    </w:p>
    <w:p w14:paraId="1FF195E6">
      <w:pPr>
        <w:spacing w:line="360" w:lineRule="auto"/>
        <w:jc w:val="both"/>
        <w:textAlignment w:val="center"/>
        <w:rPr>
          <w:color w:val="000000"/>
        </w:rPr>
      </w:pPr>
      <w:r>
        <w:rPr>
          <w:color w:val="000000"/>
        </w:rPr>
        <w:drawing>
          <wp:inline distT="0" distB="0" distL="114300" distR="114300">
            <wp:extent cx="1819275" cy="15049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819275" cy="1504950"/>
                    </a:xfrm>
                    <a:prstGeom prst="rect">
                      <a:avLst/>
                    </a:prstGeom>
                  </pic:spPr>
                </pic:pic>
              </a:graphicData>
            </a:graphic>
          </wp:inline>
        </w:drawing>
      </w:r>
    </w:p>
    <w:p w14:paraId="21215197">
      <w:pPr>
        <w:spacing w:line="360" w:lineRule="auto"/>
        <w:jc w:val="both"/>
        <w:textAlignment w:val="center"/>
        <w:rPr>
          <w:color w:val="000000"/>
        </w:rPr>
      </w:pPr>
      <w:r>
        <w:rPr>
          <w:rFonts w:ascii="宋体" w:hAnsi="宋体" w:eastAsia="宋体" w:cs="宋体"/>
          <w:color w:val="000000"/>
        </w:rPr>
        <w:t>据此推断，该书</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主题最有可能是（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5B6990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民族解放与殖民帝国瓦解</w:t>
      </w:r>
      <w:r>
        <w:rPr>
          <w:color w:val="000000"/>
        </w:rPr>
        <w:tab/>
      </w:r>
      <w:r>
        <w:rPr>
          <w:color w:val="000000"/>
        </w:rPr>
        <w:t xml:space="preserve">B. </w:t>
      </w:r>
      <w:r>
        <w:rPr>
          <w:rFonts w:ascii="宋体" w:hAnsi="宋体" w:eastAsia="宋体" w:cs="宋体"/>
          <w:color w:val="000000"/>
        </w:rPr>
        <w:t>种族歧视与民权运动</w:t>
      </w:r>
    </w:p>
    <w:p w14:paraId="386113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霸权主义与非洲地区冲突</w:t>
      </w:r>
      <w:r>
        <w:rPr>
          <w:color w:val="000000"/>
        </w:rPr>
        <w:tab/>
      </w:r>
      <w:r>
        <w:rPr>
          <w:color w:val="000000"/>
        </w:rPr>
        <w:t xml:space="preserve">D. </w:t>
      </w:r>
      <w:r>
        <w:rPr>
          <w:rFonts w:ascii="宋体" w:hAnsi="宋体" w:eastAsia="宋体" w:cs="宋体"/>
          <w:color w:val="000000"/>
        </w:rPr>
        <w:t>南北差距与泛非主义</w:t>
      </w:r>
    </w:p>
    <w:p w14:paraId="65739EA4">
      <w:pPr>
        <w:spacing w:line="360" w:lineRule="auto"/>
        <w:jc w:val="both"/>
        <w:textAlignment w:val="center"/>
        <w:rPr>
          <w:color w:val="000000"/>
        </w:rPr>
      </w:pPr>
      <w:r>
        <w:rPr>
          <w:color w:val="000000"/>
        </w:rPr>
        <w:t xml:space="preserve">11. </w:t>
      </w:r>
      <w:r>
        <w:rPr>
          <w:rFonts w:ascii="宋体" w:hAnsi="宋体" w:eastAsia="宋体" w:cs="宋体"/>
          <w:color w:val="000000"/>
        </w:rPr>
        <w:t>近年来，传统燃油汽车企业加速转型，造车“新势力”不断涌入电动汽车行业。据国际能源署统计，</w:t>
      </w:r>
      <w:r>
        <w:rPr>
          <w:rFonts w:ascii="Times New Roman" w:hAnsi="Times New Roman" w:eastAsia="Times New Roman" w:cs="Times New Roman"/>
          <w:color w:val="000000"/>
        </w:rPr>
        <w:t>2011</w:t>
      </w:r>
      <w:r>
        <w:rPr>
          <w:rFonts w:ascii="宋体" w:hAnsi="宋体" w:eastAsia="宋体" w:cs="宋体"/>
          <w:color w:val="000000"/>
        </w:rPr>
        <w:t>年全球电动汽车销量不到</w:t>
      </w:r>
      <w:r>
        <w:rPr>
          <w:rFonts w:ascii="Times New Roman" w:hAnsi="Times New Roman" w:eastAsia="Times New Roman" w:cs="Times New Roman"/>
          <w:color w:val="000000"/>
        </w:rPr>
        <w:t>4</w:t>
      </w:r>
      <w:r>
        <w:rPr>
          <w:rFonts w:ascii="宋体" w:hAnsi="宋体" w:eastAsia="宋体" w:cs="宋体"/>
          <w:color w:val="000000"/>
        </w:rPr>
        <w:t>万辆，</w:t>
      </w:r>
      <w:r>
        <w:rPr>
          <w:rFonts w:ascii="Times New Roman" w:hAnsi="Times New Roman" w:eastAsia="Times New Roman" w:cs="Times New Roman"/>
          <w:color w:val="000000"/>
        </w:rPr>
        <w:t>2022</w:t>
      </w:r>
      <w:r>
        <w:rPr>
          <w:rFonts w:ascii="宋体" w:hAnsi="宋体" w:eastAsia="宋体" w:cs="宋体"/>
          <w:color w:val="000000"/>
        </w:rPr>
        <w:t>年突破</w:t>
      </w:r>
      <w:r>
        <w:rPr>
          <w:rFonts w:ascii="Times New Roman" w:hAnsi="Times New Roman" w:eastAsia="Times New Roman" w:cs="Times New Roman"/>
          <w:color w:val="000000"/>
        </w:rPr>
        <w:t>1000</w:t>
      </w:r>
      <w:r>
        <w:rPr>
          <w:rFonts w:ascii="宋体" w:hAnsi="宋体" w:eastAsia="宋体" w:cs="宋体"/>
          <w:color w:val="000000"/>
        </w:rPr>
        <w:t>万辆；</w:t>
      </w:r>
      <w:r>
        <w:rPr>
          <w:rFonts w:ascii="Times New Roman" w:hAnsi="Times New Roman" w:eastAsia="Times New Roman" w:cs="Times New Roman"/>
          <w:color w:val="000000"/>
        </w:rPr>
        <w:t>2020</w:t>
      </w:r>
      <w:r>
        <w:rPr>
          <w:rFonts w:ascii="宋体" w:hAnsi="宋体" w:eastAsia="宋体" w:cs="宋体"/>
          <w:color w:val="000000"/>
        </w:rPr>
        <w:t>年电动汽车占新车销量比例不足</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2022</w:t>
      </w:r>
      <w:r>
        <w:rPr>
          <w:rFonts w:ascii="宋体" w:hAnsi="宋体" w:eastAsia="宋体" w:cs="宋体"/>
          <w:color w:val="000000"/>
        </w:rPr>
        <w:t>年达到</w:t>
      </w:r>
      <w:r>
        <w:rPr>
          <w:rFonts w:ascii="Times New Roman" w:hAnsi="Times New Roman" w:eastAsia="Times New Roman" w:cs="Times New Roman"/>
          <w:color w:val="000000"/>
        </w:rPr>
        <w:t>14</w:t>
      </w:r>
      <w:r>
        <w:rPr>
          <w:rFonts w:ascii="宋体" w:hAnsi="宋体" w:eastAsia="宋体" w:cs="宋体"/>
          <w:color w:val="000000"/>
        </w:rPr>
        <w:t>％。这反映了（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6645EAA7">
      <w:pPr>
        <w:spacing w:line="360" w:lineRule="auto"/>
        <w:jc w:val="both"/>
        <w:textAlignment w:val="center"/>
        <w:rPr>
          <w:color w:val="000000"/>
        </w:rPr>
      </w:pPr>
      <w:r>
        <w:rPr>
          <w:rFonts w:ascii="宋体" w:hAnsi="宋体" w:eastAsia="宋体" w:cs="宋体"/>
          <w:color w:val="000000"/>
        </w:rPr>
        <w:t>①低碳经济成为发展趋势</w:t>
      </w:r>
      <w:r>
        <w:rPr>
          <w:rFonts w:ascii="Times New Roman" w:hAnsi="Times New Roman" w:eastAsia="Times New Roman" w:cs="Times New Roman"/>
          <w:color w:val="000000"/>
        </w:rPr>
        <w:t xml:space="preserve">  </w:t>
      </w:r>
      <w:r>
        <w:rPr>
          <w:rFonts w:ascii="宋体" w:hAnsi="宋体" w:eastAsia="宋体" w:cs="宋体"/>
          <w:color w:val="000000"/>
        </w:rPr>
        <w:t>②世界大国能源竞争愈演愈烈</w:t>
      </w:r>
    </w:p>
    <w:p w14:paraId="324207E3">
      <w:pPr>
        <w:spacing w:line="360" w:lineRule="auto"/>
        <w:jc w:val="both"/>
        <w:textAlignment w:val="center"/>
        <w:rPr>
          <w:color w:val="000000"/>
        </w:rPr>
      </w:pPr>
      <w:r>
        <w:rPr>
          <w:rFonts w:ascii="宋体" w:hAnsi="宋体" w:eastAsia="宋体" w:cs="宋体"/>
          <w:color w:val="000000"/>
        </w:rPr>
        <w:t>③清洁能源日益受到重视</w:t>
      </w:r>
      <w:r>
        <w:rPr>
          <w:rFonts w:ascii="Times New Roman" w:hAnsi="Times New Roman" w:eastAsia="Times New Roman" w:cs="Times New Roman"/>
          <w:color w:val="000000"/>
        </w:rPr>
        <w:t xml:space="preserve">  </w:t>
      </w:r>
      <w:r>
        <w:rPr>
          <w:rFonts w:ascii="宋体" w:hAnsi="宋体" w:eastAsia="宋体" w:cs="宋体"/>
          <w:color w:val="000000"/>
        </w:rPr>
        <w:t>④交通出行方式发生重大变革</w:t>
      </w:r>
    </w:p>
    <w:p w14:paraId="3BCBDA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41B6758">
      <w:pPr>
        <w:spacing w:line="285" w:lineRule="auto"/>
        <w:jc w:val="both"/>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62D7E9CE">
      <w:pPr>
        <w:spacing w:line="360" w:lineRule="auto"/>
        <w:jc w:val="both"/>
        <w:textAlignment w:val="center"/>
        <w:rPr>
          <w:color w:val="000000"/>
        </w:rPr>
      </w:pPr>
      <w:r>
        <w:rPr>
          <w:color w:val="000000"/>
        </w:rPr>
        <w:t xml:space="preserve">12. </w:t>
      </w:r>
      <w:r>
        <w:rPr>
          <w:rFonts w:ascii="宋体" w:hAnsi="宋体" w:eastAsia="宋体" w:cs="宋体"/>
          <w:color w:val="000000"/>
        </w:rPr>
        <w:t>阅读材料，完成下列要求。</w:t>
      </w:r>
    </w:p>
    <w:p w14:paraId="79874957">
      <w:pPr>
        <w:spacing w:line="360" w:lineRule="auto"/>
        <w:ind w:firstLine="420"/>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名帖亦称名刺（类似今之名片），古已有之，在明朝士大夫的人际交往中扮演着重要角色。</w:t>
      </w:r>
    </w:p>
    <w:p w14:paraId="37D93F9D">
      <w:pPr>
        <w:spacing w:line="360" w:lineRule="auto"/>
        <w:ind w:firstLine="420"/>
        <w:jc w:val="both"/>
        <w:textAlignment w:val="center"/>
        <w:rPr>
          <w:color w:val="000000"/>
        </w:rPr>
      </w:pPr>
      <w:r>
        <w:rPr>
          <w:rFonts w:ascii="楷体" w:hAnsi="楷体" w:eastAsia="楷体" w:cs="楷体"/>
          <w:color w:val="000000"/>
        </w:rPr>
        <w:t>明朝正德年间（</w:t>
      </w:r>
      <w:r>
        <w:rPr>
          <w:rFonts w:ascii="Times New Roman" w:hAnsi="Times New Roman" w:eastAsia="Times New Roman" w:cs="Times New Roman"/>
          <w:color w:val="000000"/>
        </w:rPr>
        <w:t>1506</w:t>
      </w:r>
      <w:r>
        <w:rPr>
          <w:rFonts w:ascii="楷体" w:hAnsi="楷体" w:eastAsia="楷体" w:cs="楷体"/>
          <w:color w:val="000000"/>
        </w:rPr>
        <w:t>—</w:t>
      </w:r>
      <w:r>
        <w:rPr>
          <w:rFonts w:ascii="Times New Roman" w:hAnsi="Times New Roman" w:eastAsia="Times New Roman" w:cs="Times New Roman"/>
          <w:color w:val="000000"/>
        </w:rPr>
        <w:t>1521</w:t>
      </w:r>
      <w:r>
        <w:rPr>
          <w:rFonts w:ascii="楷体" w:hAnsi="楷体" w:eastAsia="楷体" w:cs="楷体"/>
          <w:color w:val="000000"/>
        </w:rPr>
        <w:t>年），宦官刘瑾受宠用事，“走其门者倾朝，名刺必红纸”，以致“京师红纸价顿长十倍”。郎瑛（</w:t>
      </w:r>
      <w:r>
        <w:rPr>
          <w:rFonts w:ascii="Times New Roman" w:hAnsi="Times New Roman" w:eastAsia="Times New Roman" w:cs="Times New Roman"/>
          <w:color w:val="000000"/>
        </w:rPr>
        <w:t>1487</w:t>
      </w:r>
      <w:r>
        <w:rPr>
          <w:rFonts w:ascii="楷体" w:hAnsi="楷体" w:eastAsia="楷体" w:cs="楷体"/>
          <w:color w:val="000000"/>
        </w:rPr>
        <w:t>—</w:t>
      </w:r>
      <w:r>
        <w:rPr>
          <w:rFonts w:ascii="Times New Roman" w:hAnsi="Times New Roman" w:eastAsia="Times New Roman" w:cs="Times New Roman"/>
          <w:color w:val="000000"/>
        </w:rPr>
        <w:t>1566</w:t>
      </w:r>
      <w:r>
        <w:rPr>
          <w:rFonts w:ascii="楷体" w:hAnsi="楷体" w:eastAsia="楷体" w:cs="楷体"/>
          <w:color w:val="000000"/>
        </w:rPr>
        <w:t>年）在其著述中写道：“予少年见公卿刺纸，不过今之白录纸二寸……今之用纸，非表白录罗纹笺，则大红销金纸，长有五尺，阔过五寸，更用一绵纸封袋递送，上下通行，否则谓之不敬……可谓暴殄天物，奢亦极矣！”</w:t>
      </w:r>
    </w:p>
    <w:p w14:paraId="15A51539">
      <w:pPr>
        <w:spacing w:line="360" w:lineRule="auto"/>
        <w:ind w:firstLine="420"/>
        <w:jc w:val="both"/>
        <w:textAlignment w:val="center"/>
        <w:rPr>
          <w:color w:val="000000"/>
        </w:rPr>
      </w:pPr>
      <w:r>
        <w:rPr>
          <w:rFonts w:ascii="楷体" w:hAnsi="楷体" w:eastAsia="楷体" w:cs="楷体"/>
          <w:color w:val="000000"/>
        </w:rPr>
        <w:t>明朝前期，名帖多自署“门生”等，“必兼亲者，方加‘眷’字。至于‘通家’‘年家’，非实有可据，断断不轻用也”。明朝中期以后，士大夫交际活动日益活跃，“视其爵、齿及交谊以为斟酌”的风气日盛，衍生出“晚生”“侍生”，甚至出现“渺渺小学生”“通家治下牛马走”“门下沐恩小的”等自称，原本亲戚间使用的“眷”字亦开始滥用。</w:t>
      </w:r>
    </w:p>
    <w:p w14:paraId="3C9E4638">
      <w:pPr>
        <w:spacing w:line="360" w:lineRule="auto"/>
        <w:jc w:val="right"/>
        <w:textAlignment w:val="center"/>
        <w:rPr>
          <w:color w:val="000000"/>
        </w:rPr>
      </w:pPr>
      <w:r>
        <w:rPr>
          <w:rFonts w:ascii="楷体" w:hAnsi="楷体" w:eastAsia="楷体" w:cs="楷体"/>
          <w:color w:val="000000"/>
        </w:rPr>
        <w:t>——摘编自（日）岸本美绪《风俗与历史观：明清时代的中国与世界》等</w:t>
      </w:r>
    </w:p>
    <w:p w14:paraId="338070F6">
      <w:pPr>
        <w:spacing w:line="360" w:lineRule="auto"/>
        <w:jc w:val="left"/>
        <w:textAlignment w:val="center"/>
        <w:rPr>
          <w:color w:val="000000"/>
        </w:rPr>
      </w:pPr>
      <w:r>
        <w:rPr>
          <w:color w:val="000000"/>
        </w:rPr>
        <w:t>（1）</w:t>
      </w:r>
      <w:r>
        <w:rPr>
          <w:rFonts w:ascii="宋体" w:hAnsi="宋体" w:eastAsia="宋体" w:cs="宋体"/>
          <w:color w:val="000000"/>
        </w:rPr>
        <w:t>根据材料，概括明朝名帖的变化。</w:t>
      </w:r>
    </w:p>
    <w:p w14:paraId="2D2D6AA7">
      <w:pPr>
        <w:spacing w:line="360" w:lineRule="auto"/>
        <w:jc w:val="left"/>
        <w:textAlignment w:val="center"/>
        <w:rPr>
          <w:color w:val="000000"/>
        </w:rPr>
      </w:pPr>
      <w:r>
        <w:rPr>
          <w:color w:val="000000"/>
        </w:rPr>
        <w:t>（2）</w:t>
      </w:r>
      <w:r>
        <w:rPr>
          <w:rFonts w:ascii="宋体" w:hAnsi="宋体" w:eastAsia="宋体" w:cs="宋体"/>
          <w:color w:val="000000"/>
        </w:rPr>
        <w:t>根据材料并结合所学知识，简析明朝名帖变化的原因。</w:t>
      </w:r>
    </w:p>
    <w:p w14:paraId="7C5516DA">
      <w:pPr>
        <w:spacing w:line="360" w:lineRule="auto"/>
        <w:jc w:val="both"/>
        <w:textAlignment w:val="center"/>
        <w:rPr>
          <w:color w:val="000000"/>
        </w:rPr>
      </w:pPr>
      <w:r>
        <w:rPr>
          <w:color w:val="000000"/>
        </w:rPr>
        <w:t xml:space="preserve">13. </w:t>
      </w:r>
      <w:r>
        <w:rPr>
          <w:rFonts w:ascii="宋体" w:hAnsi="宋体" w:eastAsia="宋体" w:cs="宋体"/>
          <w:color w:val="000000"/>
        </w:rPr>
        <w:t>阅读材料，完成下列要求。</w:t>
      </w:r>
    </w:p>
    <w:p w14:paraId="27BFE3CF">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自公元前</w:t>
      </w:r>
      <w:r>
        <w:rPr>
          <w:rFonts w:ascii="Times New Roman" w:hAnsi="Times New Roman" w:eastAsia="Times New Roman" w:cs="Times New Roman"/>
          <w:color w:val="000000"/>
        </w:rPr>
        <w:t>219</w:t>
      </w:r>
      <w:r>
        <w:rPr>
          <w:rFonts w:ascii="楷体" w:hAnsi="楷体" w:eastAsia="楷体" w:cs="楷体"/>
          <w:color w:val="000000"/>
        </w:rPr>
        <w:t>年始，秦始皇数次东巡，“群臣诵功，请刻于石”，遂在泰山等地刻石勒铭。这些铭文叙述了秦始皇因六国“贪戾无厌，虐杀不已”，于是“禽灭六王”“平一宇内”，实行了“器械一量，同书文字”等政策；秦始皇“作制明法”“不懈于治”“专隆教诲”“忧恤黔首”，官员“各知所行，事无嫌疑”；“六合之内”出现了“黔首安宁”“不用兵革”“男女礼顺”“莫不受德”“承顺圣意”的景象。</w:t>
      </w:r>
    </w:p>
    <w:p w14:paraId="73FACD65">
      <w:pPr>
        <w:spacing w:line="360" w:lineRule="auto"/>
        <w:jc w:val="right"/>
        <w:textAlignment w:val="center"/>
        <w:rPr>
          <w:color w:val="000000"/>
        </w:rPr>
      </w:pPr>
      <w:r>
        <w:rPr>
          <w:rFonts w:ascii="楷体" w:hAnsi="楷体" w:eastAsia="楷体" w:cs="楷体"/>
          <w:color w:val="000000"/>
        </w:rPr>
        <w:t>——据《史记》等</w:t>
      </w:r>
    </w:p>
    <w:p w14:paraId="50BAA2BC">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公元</w:t>
      </w:r>
      <w:r>
        <w:rPr>
          <w:rFonts w:ascii="Times New Roman" w:hAnsi="Times New Roman" w:eastAsia="Times New Roman" w:cs="Times New Roman"/>
          <w:color w:val="000000"/>
        </w:rPr>
        <w:t>14</w:t>
      </w:r>
      <w:r>
        <w:rPr>
          <w:rFonts w:ascii="楷体" w:hAnsi="楷体" w:eastAsia="楷体" w:cs="楷体"/>
          <w:color w:val="000000"/>
        </w:rPr>
        <w:t>年罗马帝国首位皇帝奥古斯都去世，其生前自述被铭刻于陵墓入口处，主要内容为：奥古斯都“恢复了为派系势力主宰的共和国的自由”，平定高卢、西班牙等地战乱；多次为罗马平民发放金钱和粮食，“举办角斗表演”；复兴罗马传统，“修复了八十二座诸神之庙宇”；“解除了海上的海盗威胁”，“将罗马人民的所有行省”的边界扩大了。铭文强调奥古斯都的最高权力源于元老院和罗马公民的授予。该铭文后被诸行省传抄。</w:t>
      </w:r>
    </w:p>
    <w:p w14:paraId="2B3C99D9">
      <w:pPr>
        <w:spacing w:line="360" w:lineRule="auto"/>
        <w:jc w:val="right"/>
        <w:textAlignment w:val="center"/>
        <w:rPr>
          <w:color w:val="000000"/>
        </w:rPr>
      </w:pPr>
      <w:r>
        <w:rPr>
          <w:rFonts w:ascii="楷体" w:hAnsi="楷体" w:eastAsia="楷体" w:cs="楷体"/>
          <w:color w:val="000000"/>
        </w:rPr>
        <w:t>——摘编自张楠、张强《＜奥古斯都功德碑＞译注》</w:t>
      </w:r>
    </w:p>
    <w:p w14:paraId="4C607A3C">
      <w:pPr>
        <w:spacing w:line="360" w:lineRule="auto"/>
        <w:jc w:val="left"/>
        <w:textAlignment w:val="center"/>
        <w:rPr>
          <w:color w:val="000000"/>
        </w:rPr>
      </w:pPr>
      <w:r>
        <w:rPr>
          <w:color w:val="000000"/>
        </w:rPr>
        <w:t>（1）</w:t>
      </w:r>
      <w:r>
        <w:rPr>
          <w:rFonts w:ascii="宋体" w:hAnsi="宋体" w:eastAsia="宋体" w:cs="宋体"/>
          <w:color w:val="000000"/>
        </w:rPr>
        <w:t>根据材料，分别概括秦始皇刻石与奥古斯都功德碑呈现的帝王形象。</w:t>
      </w:r>
    </w:p>
    <w:p w14:paraId="7CC59615">
      <w:pPr>
        <w:spacing w:line="360" w:lineRule="auto"/>
        <w:jc w:val="left"/>
        <w:textAlignment w:val="center"/>
        <w:rPr>
          <w:color w:val="000000"/>
        </w:rPr>
      </w:pPr>
      <w:r>
        <w:rPr>
          <w:color w:val="000000"/>
        </w:rPr>
        <w:t>（2）</w:t>
      </w:r>
      <w:r>
        <w:rPr>
          <w:rFonts w:ascii="宋体" w:hAnsi="宋体" w:eastAsia="宋体" w:cs="宋体"/>
          <w:color w:val="000000"/>
        </w:rPr>
        <w:t>根据材料并结合所学知识，分析秦始皇刻石与奥古斯都功德碑出现的共性原因并说明两者共同的史料价值。</w:t>
      </w:r>
    </w:p>
    <w:p w14:paraId="11A5ED85">
      <w:pPr>
        <w:spacing w:line="360" w:lineRule="auto"/>
        <w:jc w:val="both"/>
        <w:textAlignment w:val="center"/>
        <w:rPr>
          <w:color w:val="000000"/>
        </w:rPr>
      </w:pPr>
      <w:r>
        <w:rPr>
          <w:color w:val="000000"/>
        </w:rPr>
        <w:t xml:space="preserve">14. </w:t>
      </w:r>
      <w:r>
        <w:rPr>
          <w:rFonts w:ascii="宋体" w:hAnsi="宋体" w:eastAsia="宋体" w:cs="宋体"/>
          <w:color w:val="000000"/>
        </w:rPr>
        <w:t>阅读材料，完成下列要求。</w:t>
      </w:r>
    </w:p>
    <w:p w14:paraId="19A57F38">
      <w:pPr>
        <w:spacing w:line="360" w:lineRule="auto"/>
        <w:ind w:firstLine="420"/>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18</w:t>
      </w:r>
      <w:r>
        <w:rPr>
          <w:rFonts w:ascii="楷体" w:hAnsi="楷体" w:eastAsia="楷体" w:cs="楷体"/>
          <w:color w:val="000000"/>
        </w:rPr>
        <w:t>世纪末到</w:t>
      </w:r>
      <w:r>
        <w:rPr>
          <w:rFonts w:ascii="Times New Roman" w:hAnsi="Times New Roman" w:eastAsia="Times New Roman" w:cs="Times New Roman"/>
          <w:color w:val="000000"/>
        </w:rPr>
        <w:t>19</w:t>
      </w:r>
      <w:r>
        <w:rPr>
          <w:rFonts w:ascii="楷体" w:hAnsi="楷体" w:eastAsia="楷体" w:cs="楷体"/>
          <w:color w:val="000000"/>
        </w:rPr>
        <w:t>世纪中叶，英国文学旅游兴起并成为一门产业。民众仿效</w:t>
      </w:r>
      <w:r>
        <w:rPr>
          <w:rFonts w:ascii="Times New Roman" w:hAnsi="Times New Roman" w:eastAsia="Times New Roman" w:cs="Times New Roman"/>
          <w:color w:val="000000"/>
        </w:rPr>
        <w:t>16</w:t>
      </w:r>
      <w:r>
        <w:rPr>
          <w:rFonts w:ascii="楷体" w:hAnsi="楷体" w:eastAsia="楷体" w:cs="楷体"/>
          <w:color w:val="000000"/>
        </w:rPr>
        <w:t>世纪以来贵族“欧陆游学”传统，参观英国知名作家的出生地、故居和墓地，探访文学作品中描述之地，以求“更深刻地理解熟悉的文本”。</w:t>
      </w:r>
    </w:p>
    <w:p w14:paraId="1038C357">
      <w:pPr>
        <w:spacing w:line="360" w:lineRule="auto"/>
        <w:ind w:firstLine="420"/>
        <w:jc w:val="both"/>
        <w:textAlignment w:val="center"/>
        <w:rPr>
          <w:color w:val="000000"/>
        </w:rPr>
      </w:pPr>
      <w:r>
        <w:rPr>
          <w:rFonts w:ascii="楷体" w:hAnsi="楷体" w:eastAsia="楷体" w:cs="楷体"/>
          <w:color w:val="000000"/>
        </w:rPr>
        <w:t>地处偏僻的斯特拉特福，因是莎士比亚出生地而成为旅游胜地。</w:t>
      </w:r>
      <w:r>
        <w:rPr>
          <w:rFonts w:ascii="Times New Roman" w:hAnsi="Times New Roman" w:eastAsia="Times New Roman" w:cs="Times New Roman"/>
          <w:color w:val="000000"/>
        </w:rPr>
        <w:t>1847</w:t>
      </w:r>
      <w:r>
        <w:rPr>
          <w:rFonts w:ascii="楷体" w:hAnsi="楷体" w:eastAsia="楷体" w:cs="楷体"/>
          <w:color w:val="000000"/>
        </w:rPr>
        <w:t>年出版的《英国最杰出诗人的故居和常去之处》配以版画介绍英国作家故居，深受读者欢迎。伦敦威斯敏斯特教堂有乔叟、斯宾塞等众多作家的墓碑或纪念碑，备受游客青睐。人们还将文学作品视为“旅游指南”，前往伦敦、罗切斯特等地，与作品中的人物“邂逅”，“跟随哈代想象出来的人物的活动轨迹游览他们的故土”，领略司各特作品中描述的苏格兰高地风光，寻找历史记忆。“莎士比亚之乡”“哈代之乡”“司各特之乡”等英国文学之乡成为一道道亮丽的文化风景线。</w:t>
      </w:r>
    </w:p>
    <w:p w14:paraId="0CC3971B">
      <w:pPr>
        <w:spacing w:line="360" w:lineRule="auto"/>
        <w:jc w:val="right"/>
        <w:textAlignment w:val="center"/>
        <w:rPr>
          <w:color w:val="000000"/>
        </w:rPr>
      </w:pPr>
      <w:r>
        <w:rPr>
          <w:rFonts w:ascii="楷体" w:hAnsi="楷体" w:eastAsia="楷体" w:cs="楷体"/>
          <w:color w:val="000000"/>
        </w:rPr>
        <w:t>——摘编自（法）马克</w:t>
      </w:r>
      <w:r>
        <w:rPr>
          <w:rFonts w:ascii="宋体" w:hAnsi="宋体" w:eastAsia="宋体" w:cs="宋体"/>
          <w:color w:val="000000"/>
        </w:rPr>
        <w:t>•</w:t>
      </w:r>
      <w:r>
        <w:rPr>
          <w:rFonts w:ascii="楷体" w:hAnsi="楷体" w:eastAsia="楷体" w:cs="楷体"/>
          <w:color w:val="000000"/>
        </w:rPr>
        <w:t>布瓦耶《</w:t>
      </w:r>
      <w:r>
        <w:rPr>
          <w:rFonts w:ascii="Times New Roman" w:hAnsi="Times New Roman" w:eastAsia="Times New Roman" w:cs="Times New Roman"/>
          <w:color w:val="000000"/>
        </w:rPr>
        <w:t>16</w:t>
      </w:r>
      <w:r>
        <w:rPr>
          <w:rFonts w:ascii="楷体" w:hAnsi="楷体" w:eastAsia="楷体" w:cs="楷体"/>
          <w:color w:val="000000"/>
        </w:rPr>
        <w:t>—</w:t>
      </w:r>
      <w:r>
        <w:rPr>
          <w:rFonts w:ascii="Times New Roman" w:hAnsi="Times New Roman" w:eastAsia="Times New Roman" w:cs="Times New Roman"/>
          <w:color w:val="000000"/>
        </w:rPr>
        <w:t>21</w:t>
      </w:r>
      <w:r>
        <w:rPr>
          <w:rFonts w:ascii="楷体" w:hAnsi="楷体" w:eastAsia="楷体" w:cs="楷体"/>
          <w:color w:val="000000"/>
        </w:rPr>
        <w:t>世纪西方旅游史》等</w:t>
      </w:r>
    </w:p>
    <w:p w14:paraId="2F054A5E">
      <w:pPr>
        <w:spacing w:line="360" w:lineRule="auto"/>
        <w:jc w:val="left"/>
        <w:textAlignment w:val="center"/>
        <w:rPr>
          <w:color w:val="000000"/>
        </w:rPr>
      </w:pPr>
      <w:r>
        <w:rPr>
          <w:color w:val="000000"/>
        </w:rPr>
        <w:t>（1）</w:t>
      </w:r>
      <w:r>
        <w:rPr>
          <w:rFonts w:ascii="宋体" w:hAnsi="宋体" w:eastAsia="宋体" w:cs="宋体"/>
          <w:color w:val="000000"/>
        </w:rPr>
        <w:t>根据材料并结合所学知识，概括英国文学旅游兴起的原因。</w:t>
      </w:r>
    </w:p>
    <w:p w14:paraId="3FC3EBFC">
      <w:pPr>
        <w:spacing w:line="360" w:lineRule="auto"/>
        <w:jc w:val="left"/>
        <w:textAlignment w:val="center"/>
        <w:rPr>
          <w:color w:val="000000"/>
        </w:rPr>
      </w:pPr>
      <w:r>
        <w:rPr>
          <w:color w:val="000000"/>
        </w:rPr>
        <w:t>（2）</w:t>
      </w:r>
      <w:r>
        <w:rPr>
          <w:rFonts w:ascii="宋体" w:hAnsi="宋体" w:eastAsia="宋体" w:cs="宋体"/>
          <w:color w:val="000000"/>
        </w:rPr>
        <w:t>根据材料并结合所学知识，简析</w:t>
      </w:r>
      <w:r>
        <w:rPr>
          <w:rFonts w:ascii="Times New Roman" w:hAnsi="Times New Roman" w:eastAsia="Times New Roman" w:cs="Times New Roman"/>
          <w:color w:val="000000"/>
        </w:rPr>
        <w:t>18</w:t>
      </w:r>
      <w:r>
        <w:rPr>
          <w:rFonts w:ascii="宋体" w:hAnsi="宋体" w:eastAsia="宋体" w:cs="宋体"/>
          <w:color w:val="000000"/>
        </w:rPr>
        <w:t>世纪末到</w:t>
      </w:r>
      <w:r>
        <w:rPr>
          <w:rFonts w:ascii="Times New Roman" w:hAnsi="Times New Roman" w:eastAsia="Times New Roman" w:cs="Times New Roman"/>
          <w:color w:val="000000"/>
        </w:rPr>
        <w:t>19</w:t>
      </w:r>
      <w:r>
        <w:rPr>
          <w:rFonts w:ascii="宋体" w:hAnsi="宋体" w:eastAsia="宋体" w:cs="宋体"/>
          <w:color w:val="000000"/>
        </w:rPr>
        <w:t>世纪中叶英国文学旅游的影响。</w:t>
      </w:r>
    </w:p>
    <w:p w14:paraId="1F04690F">
      <w:pPr>
        <w:spacing w:line="360" w:lineRule="auto"/>
        <w:jc w:val="both"/>
        <w:textAlignment w:val="center"/>
        <w:rPr>
          <w:color w:val="000000"/>
        </w:rPr>
      </w:pPr>
      <w:r>
        <w:rPr>
          <w:color w:val="000000"/>
        </w:rPr>
        <w:t xml:space="preserve">15. </w:t>
      </w:r>
      <w:r>
        <w:rPr>
          <w:rFonts w:ascii="宋体" w:hAnsi="宋体" w:eastAsia="宋体" w:cs="宋体"/>
          <w:color w:val="000000"/>
        </w:rPr>
        <w:t>阅读材料，完成下列要求。</w:t>
      </w:r>
    </w:p>
    <w:p w14:paraId="21D9E300">
      <w:pPr>
        <w:spacing w:line="360" w:lineRule="auto"/>
        <w:ind w:firstLine="420"/>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在中国共产党领导中国人民站起来、富起来、强起来的百年历史中，有许多东北地区的革命事件、奋进精神等东北元素。某课题组拟建立“党史中的东北元素资料库”，特向社会征集党史中具有重大意义的东北元素。</w:t>
      </w:r>
    </w:p>
    <w:p w14:paraId="57171320">
      <w:pPr>
        <w:spacing w:line="360" w:lineRule="auto"/>
        <w:jc w:val="both"/>
        <w:textAlignment w:val="center"/>
        <w:rPr>
          <w:color w:val="000000"/>
        </w:rPr>
      </w:pPr>
      <w:r>
        <w:rPr>
          <w:rFonts w:ascii="宋体" w:hAnsi="宋体" w:eastAsia="宋体" w:cs="宋体"/>
          <w:color w:val="000000"/>
        </w:rPr>
        <w:t>请围绕“党史中的东北元素”，结合所学知识，向该课题组推荐一个专题，自拟专题题目，并阐明推荐理由。（要求：题目明确且包含时间尺度，史论结合，论证充分，逻辑清晰。）</w:t>
      </w:r>
    </w:p>
    <w:p w14:paraId="69E8B209">
      <w:pPr>
        <w:spacing w:line="285"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8B00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5C2A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6EBC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E39D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9E9D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1A4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E47A9A"/>
    <w:rsid w:val="38274566"/>
    <w:rsid w:val="45605A5F"/>
    <w:rsid w:val="5F2E1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5</Pages>
  <Words>3325</Words>
  <Characters>3460</Characters>
  <Lines>0</Lines>
  <Paragraphs>0</Paragraphs>
  <TotalTime>0</TotalTime>
  <ScaleCrop>false</ScaleCrop>
  <LinksUpToDate>false</LinksUpToDate>
  <CharactersWithSpaces>3591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9C82FFA6046C4384BB10922214583299_12</vt:lpwstr>
  </property>
</Properties>
</file>