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1466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11772900</wp:posOffset>
            </wp:positionV>
            <wp:extent cx="457200" cy="3683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年福建省普通高中学业水平选择性考试</w:t>
      </w:r>
    </w:p>
    <w:p w14:paraId="3E7378A5">
      <w:pPr>
        <w:spacing w:line="360" w:lineRule="auto"/>
        <w:jc w:val="center"/>
      </w:pPr>
      <w:r>
        <w:rPr>
          <w:rFonts w:ascii="宋体" w:hAnsi="宋体" w:eastAsia="宋体" w:cs="宋体"/>
          <w:b/>
          <w:color w:val="auto"/>
          <w:sz w:val="32"/>
        </w:rPr>
        <w:t>历史试题</w:t>
      </w:r>
    </w:p>
    <w:p w14:paraId="32417D27">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分。在每小题列出的四个选项中，只有一个是符合题目要求的。</w:t>
      </w:r>
    </w:p>
    <w:p w14:paraId="626CD2E2">
      <w:pPr>
        <w:spacing w:line="360" w:lineRule="auto"/>
        <w:jc w:val="both"/>
      </w:pPr>
      <w:r>
        <w:rPr>
          <w:color w:val="auto"/>
        </w:rPr>
        <w:t xml:space="preserve">1. </w:t>
      </w:r>
      <w:r>
        <w:rPr>
          <w:rFonts w:ascii="宋体" w:hAnsi="宋体" w:eastAsia="宋体" w:cs="宋体"/>
          <w:color w:val="auto"/>
        </w:rPr>
        <w:t>考古发现，二里头的宫城遗址中，二号宫庙与一号宫殿呈东西分布，二者各有一条南北向的轴线；偃师商城的宫城遗址也有“左庙右宫”及“双轴线”。这可以说明我国早期国家（</w:t>
      </w:r>
      <w:r>
        <w:rPr>
          <w:rFonts w:ascii="Times New Roman" w:hAnsi="Times New Roman" w:eastAsia="Times New Roman" w:cs="Times New Roman"/>
          <w:color w:val="auto"/>
        </w:rPr>
        <w:t xml:space="preserve">   </w:t>
      </w:r>
      <w:r>
        <w:rPr>
          <w:rFonts w:ascii="宋体" w:hAnsi="宋体" w:eastAsia="宋体" w:cs="宋体"/>
          <w:color w:val="auto"/>
        </w:rPr>
        <w:t>）</w:t>
      </w:r>
    </w:p>
    <w:p w14:paraId="75FEC47B">
      <w:pPr>
        <w:tabs>
          <w:tab w:val="left" w:pos="4873"/>
        </w:tabs>
        <w:spacing w:line="360" w:lineRule="auto"/>
        <w:jc w:val="left"/>
        <w:textAlignment w:val="center"/>
        <w:rPr>
          <w:color w:val="auto"/>
        </w:rPr>
      </w:pPr>
      <w:r>
        <w:t xml:space="preserve">A. </w:t>
      </w:r>
      <w:r>
        <w:rPr>
          <w:rFonts w:ascii="宋体" w:hAnsi="宋体" w:eastAsia="宋体" w:cs="宋体"/>
          <w:color w:val="auto"/>
        </w:rPr>
        <w:t>血缘关系与权力中心相互维系</w:t>
      </w:r>
      <w:r>
        <w:tab/>
      </w:r>
      <w:r>
        <w:t xml:space="preserve">B. </w:t>
      </w:r>
      <w:r>
        <w:rPr>
          <w:rFonts w:ascii="宋体" w:hAnsi="宋体" w:eastAsia="宋体" w:cs="宋体"/>
          <w:color w:val="auto"/>
        </w:rPr>
        <w:t>祭祀制度日趋完备</w:t>
      </w:r>
    </w:p>
    <w:p w14:paraId="5F99ED09">
      <w:pPr>
        <w:tabs>
          <w:tab w:val="left" w:pos="4873"/>
        </w:tabs>
        <w:spacing w:line="360" w:lineRule="auto"/>
        <w:jc w:val="left"/>
        <w:textAlignment w:val="center"/>
        <w:rPr>
          <w:color w:val="000000"/>
        </w:rPr>
      </w:pPr>
      <w:r>
        <w:t xml:space="preserve">C. </w:t>
      </w:r>
      <w:r>
        <w:rPr>
          <w:rFonts w:ascii="宋体" w:hAnsi="宋体" w:eastAsia="宋体" w:cs="宋体"/>
          <w:color w:val="auto"/>
        </w:rPr>
        <w:t>内服王畿与外服方国相互对立</w:t>
      </w:r>
      <w:r>
        <w:tab/>
      </w:r>
      <w:r>
        <w:t xml:space="preserve">D. </w:t>
      </w:r>
      <w:r>
        <w:rPr>
          <w:rFonts w:ascii="宋体" w:hAnsi="宋体" w:eastAsia="宋体" w:cs="宋体"/>
          <w:color w:val="auto"/>
        </w:rPr>
        <w:t>都城布局已成定式</w:t>
      </w:r>
    </w:p>
    <w:p w14:paraId="28844765">
      <w:pPr>
        <w:spacing w:line="360" w:lineRule="auto"/>
        <w:jc w:val="both"/>
        <w:textAlignment w:val="center"/>
        <w:rPr>
          <w:color w:val="000000"/>
        </w:rPr>
      </w:pPr>
      <w:r>
        <w:rPr>
          <w:color w:val="000000"/>
        </w:rPr>
        <w:t xml:space="preserve">2. </w:t>
      </w:r>
      <w:r>
        <w:rPr>
          <w:rFonts w:ascii="宋体" w:hAnsi="宋体" w:eastAsia="宋体" w:cs="宋体"/>
          <w:color w:val="000000"/>
        </w:rPr>
        <w:t>魏晋时期，地方撰写的有关名士和豪强的人物传记，是州郡长官了解地方社会的重要信息来源，也是中正评定士人资品的主要依据之一。这反映了该时期（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71ABD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士人社会地位的提高</w:t>
      </w:r>
      <w:r>
        <w:rPr>
          <w:color w:val="000000"/>
        </w:rPr>
        <w:tab/>
      </w:r>
      <w:r>
        <w:rPr>
          <w:color w:val="000000"/>
        </w:rPr>
        <w:t xml:space="preserve">B. </w:t>
      </w:r>
      <w:r>
        <w:rPr>
          <w:rFonts w:ascii="宋体" w:hAnsi="宋体" w:eastAsia="宋体" w:cs="宋体"/>
          <w:color w:val="000000"/>
        </w:rPr>
        <w:t>历史书写对象的转移</w:t>
      </w:r>
    </w:p>
    <w:p w14:paraId="58A37A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地方豪强势力的兴起</w:t>
      </w:r>
      <w:r>
        <w:rPr>
          <w:color w:val="000000"/>
        </w:rPr>
        <w:tab/>
      </w:r>
      <w:r>
        <w:rPr>
          <w:color w:val="000000"/>
        </w:rPr>
        <w:t xml:space="preserve">D. </w:t>
      </w:r>
      <w:r>
        <w:rPr>
          <w:rFonts w:ascii="宋体" w:hAnsi="宋体" w:eastAsia="宋体" w:cs="宋体"/>
          <w:color w:val="000000"/>
        </w:rPr>
        <w:t>国家治理方式的调适</w:t>
      </w:r>
    </w:p>
    <w:p w14:paraId="3970182E">
      <w:pPr>
        <w:spacing w:line="360" w:lineRule="auto"/>
        <w:jc w:val="left"/>
        <w:textAlignment w:val="center"/>
        <w:rPr>
          <w:color w:val="000000"/>
        </w:rPr>
      </w:pPr>
      <w:r>
        <w:rPr>
          <w:color w:val="000000"/>
        </w:rPr>
        <w:t xml:space="preserve">3. </w:t>
      </w:r>
      <w:r>
        <w:rPr>
          <w:rFonts w:ascii="宋体" w:hAnsi="宋体" w:eastAsia="宋体" w:cs="宋体"/>
          <w:color w:val="000000"/>
        </w:rPr>
        <w:t>唐代河朔地区藩镇割据的节度使，一度热衷于阅读《春秋》《左传》，并以春秋时期的诸侯自比。据此可知，当时（   ）</w:t>
      </w:r>
    </w:p>
    <w:p w14:paraId="74F5CF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中央朝廷丧失权威</w:t>
      </w:r>
      <w:r>
        <w:rPr>
          <w:color w:val="000000"/>
        </w:rPr>
        <w:tab/>
      </w:r>
      <w:r>
        <w:rPr>
          <w:color w:val="000000"/>
        </w:rPr>
        <w:t xml:space="preserve">B. </w:t>
      </w:r>
      <w:r>
        <w:rPr>
          <w:rFonts w:ascii="宋体" w:hAnsi="宋体" w:eastAsia="宋体" w:cs="宋体"/>
          <w:color w:val="000000"/>
        </w:rPr>
        <w:t>儒家理念深入人心</w:t>
      </w:r>
    </w:p>
    <w:p w14:paraId="66DF00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崇文抑武风气渐显</w:t>
      </w:r>
      <w:r>
        <w:rPr>
          <w:color w:val="000000"/>
        </w:rPr>
        <w:tab/>
      </w:r>
      <w:r>
        <w:rPr>
          <w:color w:val="000000"/>
        </w:rPr>
        <w:t xml:space="preserve">D. </w:t>
      </w:r>
      <w:r>
        <w:rPr>
          <w:rFonts w:ascii="宋体" w:hAnsi="宋体" w:eastAsia="宋体" w:cs="宋体"/>
          <w:color w:val="000000"/>
        </w:rPr>
        <w:t>一统秩序受到挑战</w:t>
      </w:r>
    </w:p>
    <w:p w14:paraId="41A670A2">
      <w:pPr>
        <w:spacing w:line="360" w:lineRule="auto"/>
        <w:jc w:val="both"/>
        <w:textAlignment w:val="center"/>
        <w:rPr>
          <w:color w:val="000000"/>
        </w:rPr>
      </w:pPr>
      <w:r>
        <w:rPr>
          <w:color w:val="000000"/>
        </w:rPr>
        <w:t xml:space="preserve">4. </w:t>
      </w:r>
      <w:r>
        <w:rPr>
          <w:rFonts w:ascii="宋体" w:hAnsi="宋体" w:eastAsia="宋体" w:cs="宋体"/>
          <w:color w:val="000000"/>
        </w:rPr>
        <w:t>“河西甸子”本用于指称产自中亚，经由西夏贩卖而来的绿松石，但在元人文献中，它也被用来指称直接从西亚商人处购得，名为“乞里马泥”（意为产自波斯起儿漫）的绿松石。这反映了元代（</w:t>
      </w:r>
      <w:r>
        <w:rPr>
          <w:rFonts w:ascii="Times New Roman" w:hAnsi="Times New Roman" w:eastAsia="Times New Roman" w:cs="Times New Roman"/>
          <w:color w:val="000000"/>
        </w:rPr>
        <w:t xml:space="preserve">   </w:t>
      </w:r>
      <w:r>
        <w:rPr>
          <w:rFonts w:ascii="宋体" w:hAnsi="宋体" w:eastAsia="宋体" w:cs="宋体"/>
          <w:color w:val="000000"/>
        </w:rPr>
        <w:t>）</w:t>
      </w:r>
    </w:p>
    <w:p w14:paraId="09A1E8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统治版图广大</w:t>
      </w:r>
      <w:r>
        <w:rPr>
          <w:color w:val="000000"/>
        </w:rPr>
        <w:tab/>
      </w:r>
      <w:r>
        <w:rPr>
          <w:color w:val="000000"/>
        </w:rPr>
        <w:t xml:space="preserve">B. </w:t>
      </w:r>
      <w:r>
        <w:rPr>
          <w:rFonts w:ascii="宋体" w:hAnsi="宋体" w:eastAsia="宋体" w:cs="宋体"/>
          <w:color w:val="000000"/>
        </w:rPr>
        <w:t>奢侈品需求旺盛</w:t>
      </w:r>
    </w:p>
    <w:p w14:paraId="44625F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丝绸之路畅通</w:t>
      </w:r>
      <w:r>
        <w:rPr>
          <w:color w:val="000000"/>
        </w:rPr>
        <w:tab/>
      </w:r>
      <w:r>
        <w:rPr>
          <w:color w:val="000000"/>
        </w:rPr>
        <w:t xml:space="preserve">D. </w:t>
      </w:r>
      <w:r>
        <w:rPr>
          <w:rFonts w:ascii="宋体" w:hAnsi="宋体" w:eastAsia="宋体" w:cs="宋体"/>
          <w:color w:val="000000"/>
        </w:rPr>
        <w:t>地理学成就突出</w:t>
      </w:r>
    </w:p>
    <w:p w14:paraId="11488369">
      <w:pPr>
        <w:spacing w:line="360" w:lineRule="auto"/>
        <w:jc w:val="both"/>
        <w:textAlignment w:val="center"/>
        <w:rPr>
          <w:color w:val="000000"/>
        </w:rPr>
      </w:pPr>
      <w:r>
        <w:rPr>
          <w:color w:val="000000"/>
        </w:rPr>
        <w:t xml:space="preserve">5. </w:t>
      </w:r>
      <w:r>
        <w:rPr>
          <w:rFonts w:ascii="宋体" w:hAnsi="宋体" w:eastAsia="宋体" w:cs="宋体"/>
          <w:color w:val="000000"/>
        </w:rPr>
        <w:t>明嘉靖（</w:t>
      </w:r>
      <w:r>
        <w:rPr>
          <w:rFonts w:ascii="Times New Roman" w:hAnsi="Times New Roman" w:eastAsia="Times New Roman" w:cs="Times New Roman"/>
          <w:color w:val="000000"/>
        </w:rPr>
        <w:t>1522</w:t>
      </w:r>
      <w:r>
        <w:rPr>
          <w:rFonts w:ascii="宋体" w:hAnsi="宋体" w:eastAsia="宋体" w:cs="宋体"/>
          <w:color w:val="000000"/>
        </w:rPr>
        <w:t>—</w:t>
      </w:r>
      <w:r>
        <w:rPr>
          <w:rFonts w:ascii="Times New Roman" w:hAnsi="Times New Roman" w:eastAsia="Times New Roman" w:cs="Times New Roman"/>
          <w:color w:val="000000"/>
        </w:rPr>
        <w:t>1566</w:t>
      </w:r>
      <w:r>
        <w:rPr>
          <w:rFonts w:ascii="宋体" w:hAnsi="宋体" w:eastAsia="宋体" w:cs="宋体"/>
          <w:color w:val="000000"/>
        </w:rPr>
        <w:t>）后期，官方调查了沿海卫所</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军户情况。有学者据此统计出当时沿海各地卫所军队实际人数占应有员额的比例，如图所示。该图反映的现象主要缘于（</w:t>
      </w:r>
      <w:r>
        <w:rPr>
          <w:rFonts w:ascii="Times New Roman" w:hAnsi="Times New Roman" w:eastAsia="Times New Roman" w:cs="Times New Roman"/>
          <w:color w:val="000000"/>
        </w:rPr>
        <w:t xml:space="preserve">   </w:t>
      </w:r>
      <w:r>
        <w:rPr>
          <w:rFonts w:ascii="宋体" w:hAnsi="宋体" w:eastAsia="宋体" w:cs="宋体"/>
          <w:color w:val="000000"/>
        </w:rPr>
        <w:t>）</w:t>
      </w:r>
    </w:p>
    <w:p w14:paraId="55392979">
      <w:pPr>
        <w:spacing w:line="360" w:lineRule="auto"/>
        <w:jc w:val="both"/>
        <w:textAlignment w:val="center"/>
        <w:rPr>
          <w:color w:val="000000"/>
        </w:rPr>
      </w:pPr>
      <w:r>
        <w:rPr>
          <w:color w:val="000000"/>
        </w:rPr>
        <w:drawing>
          <wp:inline distT="0" distB="0" distL="114300" distR="114300">
            <wp:extent cx="3848100" cy="2409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848100" cy="2409825"/>
                    </a:xfrm>
                    <a:prstGeom prst="rect">
                      <a:avLst/>
                    </a:prstGeom>
                  </pic:spPr>
                </pic:pic>
              </a:graphicData>
            </a:graphic>
          </wp:inline>
        </w:drawing>
      </w:r>
    </w:p>
    <w:p w14:paraId="69D5416C">
      <w:pPr>
        <w:spacing w:line="360" w:lineRule="auto"/>
        <w:jc w:val="both"/>
        <w:textAlignment w:val="center"/>
        <w:rPr>
          <w:color w:val="000000"/>
        </w:rPr>
      </w:pPr>
    </w:p>
    <w:p w14:paraId="04D96D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倭寇问题严重</w:t>
      </w:r>
      <w:r>
        <w:rPr>
          <w:color w:val="000000"/>
        </w:rPr>
        <w:tab/>
      </w:r>
      <w:r>
        <w:rPr>
          <w:color w:val="000000"/>
        </w:rPr>
        <w:t xml:space="preserve">B. </w:t>
      </w:r>
      <w:r>
        <w:rPr>
          <w:rFonts w:ascii="宋体" w:hAnsi="宋体" w:eastAsia="宋体" w:cs="宋体"/>
          <w:color w:val="000000"/>
        </w:rPr>
        <w:t>户籍制度缺乏弹性</w:t>
      </w:r>
    </w:p>
    <w:p w14:paraId="3262DE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卫所管理混乱</w:t>
      </w:r>
      <w:r>
        <w:rPr>
          <w:color w:val="000000"/>
        </w:rPr>
        <w:tab/>
      </w:r>
      <w:r>
        <w:rPr>
          <w:color w:val="000000"/>
        </w:rPr>
        <w:t xml:space="preserve">D. </w:t>
      </w:r>
      <w:r>
        <w:rPr>
          <w:rFonts w:ascii="宋体" w:hAnsi="宋体" w:eastAsia="宋体" w:cs="宋体"/>
          <w:color w:val="000000"/>
        </w:rPr>
        <w:t>沿海经济发展不均</w:t>
      </w:r>
    </w:p>
    <w:p w14:paraId="5AEC1563">
      <w:pPr>
        <w:spacing w:line="360" w:lineRule="auto"/>
        <w:jc w:val="both"/>
        <w:textAlignment w:val="center"/>
        <w:rPr>
          <w:color w:val="000000"/>
        </w:rPr>
      </w:pPr>
      <w:r>
        <w:rPr>
          <w:color w:val="000000"/>
        </w:rPr>
        <w:t xml:space="preserve">6. </w:t>
      </w:r>
      <w:r>
        <w:rPr>
          <w:rFonts w:ascii="宋体" w:hAnsi="宋体" w:eastAsia="宋体" w:cs="宋体"/>
          <w:color w:val="000000"/>
        </w:rPr>
        <w:t>自</w:t>
      </w:r>
      <w:r>
        <w:rPr>
          <w:rFonts w:ascii="Times New Roman" w:hAnsi="Times New Roman" w:eastAsia="Times New Roman" w:cs="Times New Roman"/>
          <w:color w:val="000000"/>
        </w:rPr>
        <w:t>1851</w:t>
      </w:r>
      <w:r>
        <w:rPr>
          <w:rFonts w:ascii="宋体" w:hAnsi="宋体" w:eastAsia="宋体" w:cs="宋体"/>
          <w:color w:val="000000"/>
        </w:rPr>
        <w:t>年起，消政府不间断的按年代纂辑《筹办夷务始末》，内容涵盖自</w:t>
      </w:r>
      <w:r>
        <w:rPr>
          <w:rFonts w:ascii="Times New Roman" w:hAnsi="Times New Roman" w:eastAsia="Times New Roman" w:cs="Times New Roman"/>
          <w:color w:val="000000"/>
        </w:rPr>
        <w:t>1836</w:t>
      </w:r>
      <w:r>
        <w:rPr>
          <w:rFonts w:ascii="宋体" w:hAnsi="宋体" w:eastAsia="宋体" w:cs="宋体"/>
          <w:color w:val="000000"/>
        </w:rPr>
        <w:t>年中外交涉相关的各类官私资料，以“详往事之是非”“资异时之考证”，这可用于说明晚清政府（</w:t>
      </w:r>
      <w:r>
        <w:rPr>
          <w:rFonts w:ascii="Times New Roman" w:hAnsi="Times New Roman" w:eastAsia="Times New Roman" w:cs="Times New Roman"/>
          <w:color w:val="000000"/>
        </w:rPr>
        <w:t xml:space="preserve">   </w:t>
      </w:r>
      <w:r>
        <w:rPr>
          <w:rFonts w:ascii="宋体" w:hAnsi="宋体" w:eastAsia="宋体" w:cs="宋体"/>
          <w:color w:val="000000"/>
        </w:rPr>
        <w:t>）</w:t>
      </w:r>
    </w:p>
    <w:p w14:paraId="657389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强调以史</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鉴</w:t>
      </w:r>
      <w:r>
        <w:rPr>
          <w:color w:val="000000"/>
        </w:rPr>
        <w:tab/>
      </w:r>
      <w:r>
        <w:rPr>
          <w:color w:val="000000"/>
        </w:rPr>
        <w:t xml:space="preserve">B. </w:t>
      </w:r>
      <w:r>
        <w:rPr>
          <w:rFonts w:ascii="宋体" w:hAnsi="宋体" w:eastAsia="宋体" w:cs="宋体"/>
          <w:color w:val="000000"/>
        </w:rPr>
        <w:t>注重外国信息</w:t>
      </w:r>
    </w:p>
    <w:p w14:paraId="205E37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陷入内忧外患</w:t>
      </w:r>
      <w:r>
        <w:rPr>
          <w:color w:val="000000"/>
        </w:rPr>
        <w:tab/>
      </w:r>
      <w:r>
        <w:rPr>
          <w:color w:val="000000"/>
        </w:rPr>
        <w:t xml:space="preserve">D. </w:t>
      </w:r>
      <w:r>
        <w:rPr>
          <w:rFonts w:ascii="宋体" w:hAnsi="宋体" w:eastAsia="宋体" w:cs="宋体"/>
          <w:color w:val="000000"/>
        </w:rPr>
        <w:t>改变统治方式</w:t>
      </w:r>
    </w:p>
    <w:p w14:paraId="2FA4AF52">
      <w:pPr>
        <w:spacing w:line="360" w:lineRule="auto"/>
        <w:jc w:val="both"/>
        <w:textAlignment w:val="center"/>
        <w:rPr>
          <w:color w:val="000000"/>
        </w:rPr>
      </w:pPr>
      <w:r>
        <w:rPr>
          <w:color w:val="000000"/>
        </w:rPr>
        <w:t xml:space="preserve">7. </w:t>
      </w:r>
      <w:r>
        <w:rPr>
          <w:rFonts w:ascii="宋体" w:hAnsi="宋体" w:eastAsia="宋体" w:cs="宋体"/>
          <w:color w:val="000000"/>
        </w:rPr>
        <w:t>某同学意欲探究“民国初年民族主义盛行”这一观点。下列史实能论证该观点的是（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0F5212">
      <w:pPr>
        <w:spacing w:line="360" w:lineRule="auto"/>
        <w:jc w:val="left"/>
        <w:textAlignment w:val="center"/>
        <w:rPr>
          <w:color w:val="000000"/>
        </w:rPr>
      </w:pPr>
      <w:r>
        <w:rPr>
          <w:color w:val="000000"/>
        </w:rPr>
        <w:t xml:space="preserve">A. </w:t>
      </w:r>
      <w:r>
        <w:rPr>
          <w:rFonts w:ascii="宋体" w:hAnsi="宋体" w:eastAsia="宋体" w:cs="宋体"/>
          <w:color w:val="000000"/>
        </w:rPr>
        <w:t>创办于上海的《青年杂志》迁往北京</w:t>
      </w:r>
    </w:p>
    <w:p w14:paraId="274E475F">
      <w:pPr>
        <w:spacing w:line="360" w:lineRule="auto"/>
        <w:jc w:val="left"/>
        <w:textAlignment w:val="center"/>
        <w:rPr>
          <w:color w:val="000000"/>
        </w:rPr>
      </w:pPr>
      <w:r>
        <w:rPr>
          <w:color w:val="000000"/>
        </w:rPr>
        <w:t xml:space="preserve">B. </w:t>
      </w:r>
      <w:r>
        <w:rPr>
          <w:rFonts w:ascii="宋体" w:hAnsi="宋体" w:eastAsia="宋体" w:cs="宋体"/>
          <w:color w:val="000000"/>
        </w:rPr>
        <w:t>孙中山在民国时期同他人的谈话中，频繁提及民族主义</w:t>
      </w:r>
    </w:p>
    <w:p w14:paraId="0451287B">
      <w:pPr>
        <w:spacing w:line="360" w:lineRule="auto"/>
        <w:jc w:val="left"/>
        <w:textAlignment w:val="center"/>
        <w:rPr>
          <w:color w:val="000000"/>
        </w:rPr>
      </w:pPr>
      <w:r>
        <w:rPr>
          <w:color w:val="000000"/>
        </w:rPr>
        <w:t xml:space="preserve">C. </w:t>
      </w:r>
      <w:r>
        <w:rPr>
          <w:rFonts w:ascii="宋体" w:hAnsi="宋体" w:eastAsia="宋体" w:cs="宋体"/>
          <w:color w:val="000000"/>
        </w:rPr>
        <w:t>各军阀若攻击他人，则常称其出卖国家利益</w:t>
      </w:r>
    </w:p>
    <w:p w14:paraId="46ED0958">
      <w:pPr>
        <w:spacing w:line="360" w:lineRule="auto"/>
        <w:jc w:val="left"/>
        <w:textAlignment w:val="center"/>
        <w:rPr>
          <w:color w:val="000000"/>
        </w:rPr>
      </w:pPr>
      <w:r>
        <w:rPr>
          <w:color w:val="000000"/>
        </w:rPr>
        <w:t xml:space="preserve">D. </w:t>
      </w:r>
      <w:r>
        <w:rPr>
          <w:rFonts w:ascii="宋体" w:hAnsi="宋体" w:eastAsia="宋体" w:cs="宋体"/>
          <w:color w:val="000000"/>
        </w:rPr>
        <w:t>第一次世界大战期间，中国纺织、面粉等轻工业迅速发展</w:t>
      </w:r>
    </w:p>
    <w:p w14:paraId="72930DA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月，中央银行向南京国民政府报告称，截至该年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日，该行存于香港、纽约和伦敦等地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白银和资金，合计达到了约</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69</w:t>
      </w:r>
      <w:r>
        <w:rPr>
          <w:rFonts w:ascii="宋体" w:hAnsi="宋体" w:eastAsia="宋体" w:cs="宋体"/>
          <w:color w:val="000000"/>
        </w:rPr>
        <w:t>亿美元。这种白银和资金外存的做法（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6BC154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避免了侵华日军的掠夺</w:t>
      </w:r>
      <w:r>
        <w:rPr>
          <w:color w:val="000000"/>
        </w:rPr>
        <w:tab/>
      </w:r>
      <w:r>
        <w:rPr>
          <w:color w:val="000000"/>
        </w:rPr>
        <w:t xml:space="preserve">B. </w:t>
      </w:r>
      <w:r>
        <w:rPr>
          <w:rFonts w:ascii="宋体" w:hAnsi="宋体" w:eastAsia="宋体" w:cs="宋体"/>
          <w:color w:val="000000"/>
        </w:rPr>
        <w:t>支持了中国的对日抗战</w:t>
      </w:r>
    </w:p>
    <w:p w14:paraId="2B17E4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满足了外债偿付的需求</w:t>
      </w:r>
      <w:r>
        <w:rPr>
          <w:color w:val="000000"/>
        </w:rPr>
        <w:tab/>
      </w:r>
      <w:r>
        <w:rPr>
          <w:color w:val="000000"/>
        </w:rPr>
        <w:t xml:space="preserve">D. </w:t>
      </w:r>
      <w:r>
        <w:rPr>
          <w:rFonts w:ascii="宋体" w:hAnsi="宋体" w:eastAsia="宋体" w:cs="宋体"/>
          <w:color w:val="000000"/>
        </w:rPr>
        <w:t>赢得了英美的战时支持</w:t>
      </w:r>
    </w:p>
    <w:p w14:paraId="53D253CE">
      <w:pPr>
        <w:spacing w:line="360" w:lineRule="auto"/>
        <w:jc w:val="both"/>
        <w:textAlignment w:val="center"/>
        <w:rPr>
          <w:color w:val="000000"/>
        </w:rPr>
      </w:pPr>
      <w:r>
        <w:rPr>
          <w:color w:val="000000"/>
        </w:rPr>
        <w:t xml:space="preserve">9. </w:t>
      </w:r>
      <w:r>
        <w:rPr>
          <w:rFonts w:ascii="宋体" w:hAnsi="宋体" w:eastAsia="宋体" w:cs="宋体"/>
          <w:color w:val="000000"/>
        </w:rPr>
        <w:t>下图是某博物馆馆藏的</w:t>
      </w:r>
      <w:r>
        <w:rPr>
          <w:rFonts w:ascii="Times New Roman" w:hAnsi="Times New Roman" w:eastAsia="Times New Roman" w:cs="Times New Roman"/>
          <w:color w:val="000000"/>
        </w:rPr>
        <w:t>1957</w:t>
      </w:r>
      <w:r>
        <w:rPr>
          <w:rFonts w:ascii="宋体" w:hAnsi="宋体" w:eastAsia="宋体" w:cs="宋体"/>
          <w:color w:val="000000"/>
        </w:rPr>
        <w:t>年山东工学院附属工农速成中学颁发的毕业证书。它为研究新中国的教育发展提供了（</w:t>
      </w:r>
      <w:r>
        <w:rPr>
          <w:rFonts w:ascii="Times New Roman" w:hAnsi="Times New Roman" w:eastAsia="Times New Roman" w:cs="Times New Roman"/>
          <w:color w:val="000000"/>
        </w:rPr>
        <w:t xml:space="preserve">   </w:t>
      </w:r>
      <w:r>
        <w:rPr>
          <w:rFonts w:ascii="宋体" w:hAnsi="宋体" w:eastAsia="宋体" w:cs="宋体"/>
          <w:color w:val="000000"/>
        </w:rPr>
        <w:t>）</w:t>
      </w:r>
    </w:p>
    <w:p w14:paraId="01A36D6D">
      <w:pPr>
        <w:spacing w:line="360" w:lineRule="auto"/>
        <w:jc w:val="both"/>
        <w:textAlignment w:val="center"/>
        <w:rPr>
          <w:color w:val="000000"/>
        </w:rPr>
      </w:pPr>
      <w:r>
        <w:rPr>
          <w:color w:val="000000"/>
        </w:rPr>
        <w:drawing>
          <wp:inline distT="0" distB="0" distL="114300" distR="114300">
            <wp:extent cx="5238750" cy="1819910"/>
            <wp:effectExtent l="0" t="0" r="0" b="889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820035"/>
                    </a:xfrm>
                    <a:prstGeom prst="rect">
                      <a:avLst/>
                    </a:prstGeom>
                  </pic:spPr>
                </pic:pic>
              </a:graphicData>
            </a:graphic>
          </wp:inline>
        </w:drawing>
      </w:r>
    </w:p>
    <w:p w14:paraId="0061B28B">
      <w:pPr>
        <w:spacing w:line="360" w:lineRule="auto"/>
        <w:jc w:val="both"/>
        <w:textAlignment w:val="center"/>
        <w:rPr>
          <w:color w:val="000000"/>
        </w:rPr>
      </w:pPr>
    </w:p>
    <w:p w14:paraId="4574A7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历史解释</w:t>
      </w:r>
      <w:r>
        <w:rPr>
          <w:color w:val="000000"/>
        </w:rPr>
        <w:tab/>
      </w:r>
      <w:r>
        <w:rPr>
          <w:color w:val="000000"/>
        </w:rPr>
        <w:t xml:space="preserve">B. </w:t>
      </w:r>
      <w:r>
        <w:rPr>
          <w:rFonts w:ascii="宋体" w:hAnsi="宋体" w:eastAsia="宋体" w:cs="宋体"/>
          <w:color w:val="000000"/>
        </w:rPr>
        <w:t>时空背景</w:t>
      </w:r>
      <w:r>
        <w:rPr>
          <w:color w:val="000000"/>
        </w:rPr>
        <w:tab/>
      </w:r>
      <w:r>
        <w:rPr>
          <w:color w:val="000000"/>
        </w:rPr>
        <w:t xml:space="preserve">C. </w:t>
      </w:r>
      <w:r>
        <w:rPr>
          <w:rFonts w:ascii="宋体" w:hAnsi="宋体" w:eastAsia="宋体" w:cs="宋体"/>
          <w:color w:val="000000"/>
        </w:rPr>
        <w:t>历史线索</w:t>
      </w:r>
      <w:r>
        <w:rPr>
          <w:color w:val="000000"/>
        </w:rPr>
        <w:tab/>
      </w:r>
      <w:r>
        <w:rPr>
          <w:color w:val="000000"/>
        </w:rPr>
        <w:t xml:space="preserve">D. </w:t>
      </w:r>
      <w:r>
        <w:rPr>
          <w:rFonts w:ascii="宋体" w:hAnsi="宋体" w:eastAsia="宋体" w:cs="宋体"/>
          <w:color w:val="000000"/>
        </w:rPr>
        <w:t>文本记述</w:t>
      </w:r>
    </w:p>
    <w:p w14:paraId="3D82A4BA">
      <w:pPr>
        <w:spacing w:line="360" w:lineRule="auto"/>
        <w:jc w:val="both"/>
        <w:textAlignment w:val="center"/>
        <w:rPr>
          <w:color w:val="000000"/>
        </w:rPr>
      </w:pPr>
      <w:r>
        <w:rPr>
          <w:color w:val="000000"/>
        </w:rPr>
        <w:t xml:space="preserve">10. </w:t>
      </w:r>
      <w:r>
        <w:rPr>
          <w:rFonts w:ascii="宋体" w:hAnsi="宋体" w:eastAsia="宋体" w:cs="宋体"/>
          <w:color w:val="000000"/>
        </w:rPr>
        <w:t>下表为</w:t>
      </w:r>
      <w:r>
        <w:rPr>
          <w:rFonts w:ascii="Times New Roman" w:hAnsi="Times New Roman" w:eastAsia="Times New Roman" w:cs="Times New Roman"/>
          <w:color w:val="000000"/>
        </w:rPr>
        <w:t>2017</w:t>
      </w:r>
      <w:r>
        <w:rPr>
          <w:rFonts w:ascii="宋体" w:hAnsi="宋体" w:eastAsia="宋体" w:cs="宋体"/>
          <w:color w:val="000000"/>
        </w:rPr>
        <w:t>—</w:t>
      </w:r>
      <w:r>
        <w:rPr>
          <w:rFonts w:ascii="Times New Roman" w:hAnsi="Times New Roman" w:eastAsia="Times New Roman" w:cs="Times New Roman"/>
          <w:color w:val="000000"/>
        </w:rPr>
        <w:t>2019</w:t>
      </w:r>
      <w:r>
        <w:rPr>
          <w:rFonts w:ascii="宋体" w:hAnsi="宋体" w:eastAsia="宋体" w:cs="宋体"/>
          <w:color w:val="000000"/>
        </w:rPr>
        <w:t>年我国体育产业总产出及部分门类产出统计表。下表反映了我国（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A93ED6F">
      <w:pPr>
        <w:spacing w:line="360" w:lineRule="auto"/>
        <w:jc w:val="both"/>
        <w:textAlignment w:val="center"/>
        <w:rPr>
          <w:color w:val="000000"/>
        </w:rPr>
      </w:pPr>
      <w:r>
        <w:rPr>
          <w:rFonts w:ascii="宋体" w:hAnsi="宋体" w:eastAsia="宋体" w:cs="宋体"/>
          <w:color w:val="000000"/>
        </w:rPr>
        <w:t>单位：亿元</w:t>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1710"/>
        <w:gridCol w:w="2340"/>
        <w:gridCol w:w="1920"/>
      </w:tblGrid>
      <w:tr w14:paraId="10FF9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F2398">
            <w:pPr>
              <w:spacing w:line="360" w:lineRule="auto"/>
              <w:jc w:val="both"/>
              <w:textAlignment w:val="center"/>
              <w:rPr>
                <w:color w:val="000000"/>
              </w:rPr>
            </w:pPr>
          </w:p>
          <w:p w14:paraId="2417591D">
            <w:pPr>
              <w:spacing w:line="360" w:lineRule="auto"/>
              <w:jc w:val="both"/>
              <w:textAlignment w:val="center"/>
              <w:rPr>
                <w:color w:val="000000"/>
              </w:rPr>
            </w:pPr>
            <w:r>
              <w:rPr>
                <w:rFonts w:ascii="宋体" w:hAnsi="宋体" w:eastAsia="宋体" w:cs="宋体"/>
                <w:color w:val="000000"/>
              </w:rPr>
              <w:t>年份</w:t>
            </w:r>
          </w:p>
          <w:p w14:paraId="542F5537">
            <w:pPr>
              <w:spacing w:line="360" w:lineRule="auto"/>
              <w:jc w:val="both"/>
              <w:textAlignment w:val="center"/>
              <w:rPr>
                <w:color w:val="000000"/>
              </w:rPr>
            </w:pPr>
            <w:r>
              <w:rPr>
                <w:rFonts w:ascii="宋体" w:hAnsi="宋体" w:eastAsia="宋体" w:cs="宋体"/>
                <w:color w:val="000000"/>
              </w:rPr>
              <w:t>类别</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1F1F1">
            <w:pPr>
              <w:spacing w:line="360" w:lineRule="auto"/>
              <w:jc w:val="both"/>
              <w:textAlignment w:val="center"/>
              <w:rPr>
                <w:color w:val="000000"/>
              </w:rPr>
            </w:pPr>
            <w:r>
              <w:rPr>
                <w:rFonts w:ascii="宋体" w:hAnsi="宋体" w:eastAsia="宋体" w:cs="宋体"/>
                <w:color w:val="000000"/>
              </w:rPr>
              <w:t>体育产业总产出</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95E32">
            <w:pPr>
              <w:spacing w:line="360" w:lineRule="auto"/>
              <w:jc w:val="both"/>
              <w:textAlignment w:val="center"/>
              <w:rPr>
                <w:color w:val="000000"/>
              </w:rPr>
            </w:pPr>
            <w:r>
              <w:rPr>
                <w:rFonts w:ascii="宋体" w:hAnsi="宋体" w:eastAsia="宋体" w:cs="宋体"/>
                <w:color w:val="000000"/>
              </w:rPr>
              <w:t>体育健身休闲活动产出</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F78D9">
            <w:pPr>
              <w:spacing w:line="360" w:lineRule="auto"/>
              <w:jc w:val="both"/>
              <w:textAlignment w:val="center"/>
              <w:rPr>
                <w:color w:val="000000"/>
              </w:rPr>
            </w:pPr>
            <w:r>
              <w:rPr>
                <w:rFonts w:ascii="宋体" w:hAnsi="宋体" w:eastAsia="宋体" w:cs="宋体"/>
                <w:color w:val="000000"/>
              </w:rPr>
              <w:t>体育教育培训产出</w:t>
            </w:r>
          </w:p>
        </w:tc>
      </w:tr>
      <w:tr w14:paraId="5892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0F800">
            <w:pPr>
              <w:spacing w:line="360" w:lineRule="auto"/>
              <w:jc w:val="both"/>
              <w:textAlignment w:val="center"/>
              <w:rPr>
                <w:color w:val="000000"/>
              </w:rPr>
            </w:pPr>
            <w:r>
              <w:rPr>
                <w:rFonts w:ascii="Times New Roman" w:hAnsi="Times New Roman" w:eastAsia="Times New Roman" w:cs="Times New Roman"/>
                <w:color w:val="000000"/>
              </w:rPr>
              <w:t>2017</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E3094">
            <w:pPr>
              <w:spacing w:line="360" w:lineRule="auto"/>
              <w:jc w:val="both"/>
              <w:textAlignment w:val="center"/>
              <w:rPr>
                <w:color w:val="000000"/>
              </w:rPr>
            </w:pPr>
            <w:r>
              <w:rPr>
                <w:rFonts w:ascii="Times New Roman" w:hAnsi="Times New Roman" w:eastAsia="Times New Roman" w:cs="Times New Roman"/>
                <w:color w:val="000000"/>
              </w:rPr>
              <w:t>2198717</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59428B">
            <w:pPr>
              <w:spacing w:line="360" w:lineRule="auto"/>
              <w:jc w:val="both"/>
              <w:textAlignment w:val="center"/>
              <w:rPr>
                <w:color w:val="000000"/>
              </w:rPr>
            </w:pPr>
            <w:r>
              <w:rPr>
                <w:rFonts w:ascii="Times New Roman" w:hAnsi="Times New Roman" w:eastAsia="Times New Roman" w:cs="Times New Roman"/>
                <w:color w:val="000000"/>
              </w:rPr>
              <w:t>581</w:t>
            </w:r>
            <w:r>
              <w:rPr>
                <w:rFonts w:ascii="宋体" w:hAnsi="宋体" w:eastAsia="宋体" w:cs="宋体"/>
                <w:color w:val="000000"/>
              </w:rPr>
              <w:t>．</w:t>
            </w:r>
            <w:r>
              <w:rPr>
                <w:rFonts w:ascii="Times New Roman" w:hAnsi="Times New Roman" w:eastAsia="Times New Roman" w:cs="Times New Roman"/>
                <w:color w:val="000000"/>
              </w:rPr>
              <w:t>3</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4F641">
            <w:pPr>
              <w:spacing w:line="360" w:lineRule="auto"/>
              <w:jc w:val="both"/>
              <w:textAlignment w:val="center"/>
              <w:rPr>
                <w:color w:val="000000"/>
              </w:rPr>
            </w:pPr>
            <w:r>
              <w:rPr>
                <w:rFonts w:ascii="Times New Roman" w:hAnsi="Times New Roman" w:eastAsia="Times New Roman" w:cs="Times New Roman"/>
                <w:color w:val="000000"/>
              </w:rPr>
              <w:t>341</w:t>
            </w:r>
            <w:r>
              <w:rPr>
                <w:rFonts w:ascii="宋体" w:hAnsi="宋体" w:eastAsia="宋体" w:cs="宋体"/>
                <w:color w:val="000000"/>
              </w:rPr>
              <w:t>．</w:t>
            </w:r>
            <w:r>
              <w:rPr>
                <w:rFonts w:ascii="Times New Roman" w:hAnsi="Times New Roman" w:eastAsia="Times New Roman" w:cs="Times New Roman"/>
                <w:color w:val="000000"/>
              </w:rPr>
              <w:t>2</w:t>
            </w:r>
          </w:p>
        </w:tc>
      </w:tr>
      <w:tr w14:paraId="054E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7DD82">
            <w:pPr>
              <w:spacing w:line="360" w:lineRule="auto"/>
              <w:jc w:val="both"/>
              <w:textAlignment w:val="center"/>
              <w:rPr>
                <w:color w:val="000000"/>
              </w:rPr>
            </w:pPr>
            <w:r>
              <w:rPr>
                <w:rFonts w:ascii="Times New Roman" w:hAnsi="Times New Roman" w:eastAsia="Times New Roman" w:cs="Times New Roman"/>
                <w:color w:val="000000"/>
              </w:rPr>
              <w:t>2018</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6CC13">
            <w:pPr>
              <w:spacing w:line="360" w:lineRule="auto"/>
              <w:jc w:val="both"/>
              <w:textAlignment w:val="center"/>
              <w:rPr>
                <w:color w:val="000000"/>
              </w:rPr>
            </w:pPr>
            <w:r>
              <w:rPr>
                <w:rFonts w:ascii="Times New Roman" w:hAnsi="Times New Roman" w:eastAsia="Times New Roman" w:cs="Times New Roman"/>
                <w:color w:val="000000"/>
              </w:rPr>
              <w:t>26579</w:t>
            </w:r>
            <w:r>
              <w:rPr>
                <w:rFonts w:ascii="宋体" w:hAnsi="宋体" w:eastAsia="宋体" w:cs="宋体"/>
                <w:color w:val="000000"/>
              </w:rPr>
              <w:t>．</w:t>
            </w:r>
            <w:r>
              <w:rPr>
                <w:rFonts w:ascii="Times New Roman" w:hAnsi="Times New Roman" w:eastAsia="Times New Roman" w:cs="Times New Roman"/>
                <w:color w:val="000000"/>
              </w:rPr>
              <w:t>0</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9A348">
            <w:pPr>
              <w:spacing w:line="360" w:lineRule="auto"/>
              <w:jc w:val="both"/>
              <w:textAlignment w:val="center"/>
              <w:rPr>
                <w:color w:val="000000"/>
              </w:rPr>
            </w:pPr>
            <w:r>
              <w:rPr>
                <w:rFonts w:ascii="Times New Roman" w:hAnsi="Times New Roman" w:eastAsia="Times New Roman" w:cs="Times New Roman"/>
                <w:color w:val="000000"/>
              </w:rPr>
              <w:t>1028</w:t>
            </w:r>
            <w:r>
              <w:rPr>
                <w:rFonts w:ascii="宋体" w:hAnsi="宋体" w:eastAsia="宋体" w:cs="宋体"/>
                <w:color w:val="000000"/>
              </w:rPr>
              <w:t>．</w:t>
            </w:r>
            <w:r>
              <w:rPr>
                <w:rFonts w:ascii="Times New Roman" w:hAnsi="Times New Roman" w:eastAsia="Times New Roman" w:cs="Times New Roman"/>
                <w:color w:val="000000"/>
              </w:rPr>
              <w:t>0</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D54AE">
            <w:pPr>
              <w:spacing w:line="360" w:lineRule="auto"/>
              <w:jc w:val="both"/>
              <w:textAlignment w:val="center"/>
              <w:rPr>
                <w:color w:val="000000"/>
              </w:rPr>
            </w:pPr>
            <w:r>
              <w:rPr>
                <w:rFonts w:ascii="Times New Roman" w:hAnsi="Times New Roman" w:eastAsia="Times New Roman" w:cs="Times New Roman"/>
                <w:color w:val="000000"/>
              </w:rPr>
              <w:t>1722</w:t>
            </w:r>
            <w:r>
              <w:rPr>
                <w:rFonts w:ascii="宋体" w:hAnsi="宋体" w:eastAsia="宋体" w:cs="宋体"/>
                <w:color w:val="000000"/>
              </w:rPr>
              <w:t>．</w:t>
            </w:r>
            <w:r>
              <w:rPr>
                <w:rFonts w:ascii="Times New Roman" w:hAnsi="Times New Roman" w:eastAsia="Times New Roman" w:cs="Times New Roman"/>
                <w:color w:val="000000"/>
              </w:rPr>
              <w:t>0</w:t>
            </w:r>
          </w:p>
        </w:tc>
      </w:tr>
      <w:tr w14:paraId="5444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989E0">
            <w:pPr>
              <w:spacing w:line="360" w:lineRule="auto"/>
              <w:jc w:val="both"/>
              <w:textAlignment w:val="center"/>
              <w:rPr>
                <w:color w:val="000000"/>
              </w:rPr>
            </w:pPr>
            <w:r>
              <w:rPr>
                <w:rFonts w:ascii="Times New Roman" w:hAnsi="Times New Roman" w:eastAsia="Times New Roman" w:cs="Times New Roman"/>
                <w:color w:val="000000"/>
              </w:rPr>
              <w:t>2019</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FA3AA">
            <w:pPr>
              <w:spacing w:line="360" w:lineRule="auto"/>
              <w:jc w:val="both"/>
              <w:textAlignment w:val="center"/>
              <w:rPr>
                <w:color w:val="000000"/>
              </w:rPr>
            </w:pPr>
            <w:r>
              <w:rPr>
                <w:rFonts w:ascii="Times New Roman" w:hAnsi="Times New Roman" w:eastAsia="Times New Roman" w:cs="Times New Roman"/>
                <w:color w:val="000000"/>
              </w:rPr>
              <w:t>29483</w:t>
            </w:r>
            <w:r>
              <w:rPr>
                <w:rFonts w:ascii="宋体" w:hAnsi="宋体" w:eastAsia="宋体" w:cs="宋体"/>
                <w:color w:val="000000"/>
              </w:rPr>
              <w:t>．</w:t>
            </w:r>
            <w:r>
              <w:rPr>
                <w:rFonts w:ascii="Times New Roman" w:hAnsi="Times New Roman" w:eastAsia="Times New Roman" w:cs="Times New Roman"/>
                <w:color w:val="000000"/>
              </w:rPr>
              <w:t>4</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D63DE">
            <w:pPr>
              <w:spacing w:line="360" w:lineRule="auto"/>
              <w:jc w:val="both"/>
              <w:textAlignment w:val="center"/>
              <w:rPr>
                <w:color w:val="000000"/>
              </w:rPr>
            </w:pPr>
            <w:r>
              <w:rPr>
                <w:rFonts w:ascii="Times New Roman" w:hAnsi="Times New Roman" w:eastAsia="Times New Roman" w:cs="Times New Roman"/>
                <w:color w:val="000000"/>
              </w:rPr>
              <w:t>1796</w:t>
            </w:r>
            <w:r>
              <w:rPr>
                <w:rFonts w:ascii="宋体" w:hAnsi="宋体" w:eastAsia="宋体" w:cs="宋体"/>
                <w:color w:val="000000"/>
              </w:rPr>
              <w:t>．</w:t>
            </w:r>
            <w:r>
              <w:rPr>
                <w:rFonts w:ascii="Times New Roman" w:hAnsi="Times New Roman" w:eastAsia="Times New Roman" w:cs="Times New Roman"/>
                <w:color w:val="000000"/>
              </w:rPr>
              <w:t>6</w:t>
            </w:r>
          </w:p>
        </w:tc>
        <w:tc>
          <w:tcPr>
            <w:tcW w:w="1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730CB">
            <w:pPr>
              <w:spacing w:line="360" w:lineRule="auto"/>
              <w:jc w:val="both"/>
              <w:textAlignment w:val="center"/>
              <w:rPr>
                <w:color w:val="000000"/>
              </w:rPr>
            </w:pPr>
            <w:r>
              <w:rPr>
                <w:rFonts w:ascii="Times New Roman" w:hAnsi="Times New Roman" w:eastAsia="Times New Roman" w:cs="Times New Roman"/>
                <w:color w:val="000000"/>
              </w:rPr>
              <w:t>1909</w:t>
            </w:r>
            <w:r>
              <w:rPr>
                <w:rFonts w:ascii="宋体" w:hAnsi="宋体" w:eastAsia="宋体" w:cs="宋体"/>
                <w:color w:val="000000"/>
              </w:rPr>
              <w:t>．</w:t>
            </w:r>
            <w:r>
              <w:rPr>
                <w:rFonts w:ascii="Times New Roman" w:hAnsi="Times New Roman" w:eastAsia="Times New Roman" w:cs="Times New Roman"/>
                <w:color w:val="000000"/>
              </w:rPr>
              <w:t>4</w:t>
            </w:r>
          </w:p>
        </w:tc>
      </w:tr>
    </w:tbl>
    <w:p w14:paraId="4FC4FE15">
      <w:pPr>
        <w:spacing w:line="360" w:lineRule="auto"/>
        <w:jc w:val="both"/>
        <w:textAlignment w:val="center"/>
        <w:rPr>
          <w:color w:val="000000"/>
        </w:rPr>
      </w:pPr>
    </w:p>
    <w:p w14:paraId="0B2390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跻身世界体育强国之列</w:t>
      </w:r>
      <w:r>
        <w:rPr>
          <w:color w:val="000000"/>
        </w:rPr>
        <w:tab/>
      </w:r>
      <w:r>
        <w:rPr>
          <w:color w:val="000000"/>
        </w:rPr>
        <w:t xml:space="preserve">B. </w:t>
      </w:r>
      <w:r>
        <w:rPr>
          <w:rFonts w:ascii="宋体" w:hAnsi="宋体" w:eastAsia="宋体" w:cs="宋体"/>
          <w:color w:val="000000"/>
        </w:rPr>
        <w:t>体育产业中心发生转移</w:t>
      </w:r>
    </w:p>
    <w:p w14:paraId="50FFB7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基本公共服务体系健全</w:t>
      </w:r>
      <w:r>
        <w:rPr>
          <w:color w:val="000000"/>
        </w:rPr>
        <w:tab/>
      </w:r>
      <w:r>
        <w:rPr>
          <w:color w:val="000000"/>
        </w:rPr>
        <w:t xml:space="preserve">D. </w:t>
      </w:r>
      <w:r>
        <w:rPr>
          <w:rFonts w:ascii="宋体" w:hAnsi="宋体" w:eastAsia="宋体" w:cs="宋体"/>
          <w:color w:val="000000"/>
        </w:rPr>
        <w:t>人民享受改革发展成果</w:t>
      </w:r>
    </w:p>
    <w:p w14:paraId="17D2BF56">
      <w:pPr>
        <w:spacing w:line="360" w:lineRule="auto"/>
        <w:jc w:val="both"/>
        <w:textAlignment w:val="center"/>
        <w:rPr>
          <w:color w:val="000000"/>
        </w:rPr>
      </w:pPr>
      <w:r>
        <w:rPr>
          <w:color w:val="000000"/>
        </w:rPr>
        <w:t xml:space="preserve">11. </w:t>
      </w:r>
      <w:r>
        <w:rPr>
          <w:rFonts w:ascii="宋体" w:hAnsi="宋体" w:eastAsia="宋体" w:cs="宋体"/>
          <w:color w:val="000000"/>
        </w:rPr>
        <w:t>前王朝时期，埃及出现了刻有国王名字的印章；古王国时期，出现了王室编年记；新王国时期，出现了按年代顺序罗列众多国王名字的王表（如图所示）。上述变化体现了古埃及（</w:t>
      </w:r>
      <w:r>
        <w:rPr>
          <w:rFonts w:ascii="Times New Roman" w:hAnsi="Times New Roman" w:eastAsia="Times New Roman" w:cs="Times New Roman"/>
          <w:color w:val="000000"/>
        </w:rPr>
        <w:t xml:space="preserve">   </w:t>
      </w:r>
      <w:r>
        <w:rPr>
          <w:rFonts w:ascii="宋体" w:hAnsi="宋体" w:eastAsia="宋体" w:cs="宋体"/>
          <w:color w:val="000000"/>
        </w:rPr>
        <w:t>）</w:t>
      </w:r>
    </w:p>
    <w:p w14:paraId="27BEC132">
      <w:pPr>
        <w:spacing w:line="360" w:lineRule="auto"/>
        <w:jc w:val="both"/>
        <w:textAlignment w:val="center"/>
        <w:rPr>
          <w:color w:val="000000"/>
        </w:rPr>
      </w:pPr>
      <w:r>
        <w:rPr>
          <w:color w:val="000000"/>
        </w:rPr>
        <w:drawing>
          <wp:inline distT="0" distB="0" distL="114300" distR="114300">
            <wp:extent cx="5238750" cy="1539875"/>
            <wp:effectExtent l="0" t="0" r="0" b="317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539906"/>
                    </a:xfrm>
                    <a:prstGeom prst="rect">
                      <a:avLst/>
                    </a:prstGeom>
                  </pic:spPr>
                </pic:pic>
              </a:graphicData>
            </a:graphic>
          </wp:inline>
        </w:drawing>
      </w:r>
    </w:p>
    <w:p w14:paraId="05CB94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记史传统的形成</w:t>
      </w:r>
      <w:r>
        <w:rPr>
          <w:color w:val="000000"/>
        </w:rPr>
        <w:tab/>
      </w:r>
      <w:r>
        <w:rPr>
          <w:color w:val="000000"/>
        </w:rPr>
        <w:t xml:space="preserve">B. </w:t>
      </w:r>
      <w:r>
        <w:rPr>
          <w:rFonts w:ascii="宋体" w:hAnsi="宋体" w:eastAsia="宋体" w:cs="宋体"/>
          <w:color w:val="000000"/>
        </w:rPr>
        <w:t>统治权力合法性的强化</w:t>
      </w:r>
    </w:p>
    <w:p w14:paraId="73E36D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文字体系</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改进</w:t>
      </w:r>
      <w:r>
        <w:rPr>
          <w:color w:val="000000"/>
        </w:rPr>
        <w:tab/>
      </w:r>
      <w:r>
        <w:rPr>
          <w:color w:val="000000"/>
        </w:rPr>
        <w:t xml:space="preserve">D. </w:t>
      </w:r>
      <w:r>
        <w:rPr>
          <w:rFonts w:ascii="宋体" w:hAnsi="宋体" w:eastAsia="宋体" w:cs="宋体"/>
          <w:color w:val="000000"/>
        </w:rPr>
        <w:t>王位传承延续性的稳定</w:t>
      </w:r>
    </w:p>
    <w:p w14:paraId="581945FF">
      <w:pPr>
        <w:spacing w:line="360" w:lineRule="auto"/>
        <w:jc w:val="both"/>
        <w:textAlignment w:val="center"/>
        <w:rPr>
          <w:color w:val="000000"/>
        </w:rPr>
      </w:pPr>
      <w:r>
        <w:rPr>
          <w:color w:val="000000"/>
        </w:rPr>
        <w:t xml:space="preserve">12. </w:t>
      </w:r>
      <w:r>
        <w:rPr>
          <w:rFonts w:ascii="宋体" w:hAnsi="宋体" w:eastAsia="宋体" w:cs="宋体"/>
          <w:color w:val="000000"/>
        </w:rPr>
        <w:t>马达加斯加岛靠近非洲大陆东岸，岛上居民现在使用的马达加斯加语的词汇来自梵语、班图语等；该岛还发现了</w:t>
      </w:r>
      <w:r>
        <w:rPr>
          <w:rFonts w:ascii="Times New Roman" w:hAnsi="Times New Roman" w:eastAsia="Times New Roman" w:cs="Times New Roman"/>
          <w:color w:val="000000"/>
        </w:rPr>
        <w:t>9</w:t>
      </w:r>
      <w:r>
        <w:rPr>
          <w:rFonts w:ascii="宋体" w:hAnsi="宋体" w:eastAsia="宋体" w:cs="宋体"/>
          <w:color w:val="000000"/>
        </w:rPr>
        <w:t>至</w:t>
      </w:r>
      <w:r>
        <w:rPr>
          <w:rFonts w:ascii="Times New Roman" w:hAnsi="Times New Roman" w:eastAsia="Times New Roman" w:cs="Times New Roman"/>
          <w:color w:val="000000"/>
        </w:rPr>
        <w:t>10</w:t>
      </w:r>
      <w:r>
        <w:rPr>
          <w:rFonts w:ascii="宋体" w:hAnsi="宋体" w:eastAsia="宋体" w:cs="宋体"/>
          <w:color w:val="000000"/>
        </w:rPr>
        <w:t>世纪伊斯兰教徒的坟墓和波斯风格的陶器。这些现象反映了（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74B923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环印度洋贸易的影响</w:t>
      </w:r>
      <w:r>
        <w:rPr>
          <w:color w:val="000000"/>
        </w:rPr>
        <w:tab/>
      </w:r>
      <w:r>
        <w:rPr>
          <w:color w:val="000000"/>
        </w:rPr>
        <w:t xml:space="preserve">B. </w:t>
      </w:r>
      <w:r>
        <w:rPr>
          <w:rFonts w:ascii="宋体" w:hAnsi="宋体" w:eastAsia="宋体" w:cs="宋体"/>
          <w:color w:val="000000"/>
        </w:rPr>
        <w:t>古代语言的融合发展</w:t>
      </w:r>
    </w:p>
    <w:p w14:paraId="0119D3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非洲本土文化的演变</w:t>
      </w:r>
      <w:r>
        <w:rPr>
          <w:color w:val="000000"/>
        </w:rPr>
        <w:tab/>
      </w:r>
      <w:r>
        <w:rPr>
          <w:color w:val="000000"/>
        </w:rPr>
        <w:t xml:space="preserve">D. </w:t>
      </w:r>
      <w:r>
        <w:rPr>
          <w:rFonts w:ascii="宋体" w:hAnsi="宋体" w:eastAsia="宋体" w:cs="宋体"/>
          <w:color w:val="000000"/>
        </w:rPr>
        <w:t>阿拉伯人的优势地位</w:t>
      </w:r>
    </w:p>
    <w:p w14:paraId="2E7D5366">
      <w:pPr>
        <w:spacing w:line="360" w:lineRule="auto"/>
        <w:jc w:val="both"/>
        <w:textAlignment w:val="center"/>
        <w:rPr>
          <w:color w:val="000000"/>
        </w:rPr>
      </w:pPr>
      <w:r>
        <w:rPr>
          <w:color w:val="000000"/>
        </w:rPr>
        <w:t xml:space="preserve">13. </w:t>
      </w:r>
      <w:r>
        <w:rPr>
          <w:rFonts w:ascii="宋体" w:hAnsi="宋体" w:eastAsia="宋体" w:cs="宋体"/>
          <w:color w:val="000000"/>
        </w:rPr>
        <w:t>英法百年战争期间，法兰西国王管辖下的行会织工通常会选择向国王缴纳一笔费用，以免除警戒义务，但随着负担的加重，织工纷纷将作坊迁至教会地产上以逃避义务。</w:t>
      </w:r>
      <w:r>
        <w:rPr>
          <w:rFonts w:ascii="Times New Roman" w:hAnsi="Times New Roman" w:eastAsia="Times New Roman" w:cs="Times New Roman"/>
          <w:color w:val="000000"/>
        </w:rPr>
        <w:t>1372</w:t>
      </w:r>
      <w:r>
        <w:rPr>
          <w:rFonts w:ascii="宋体" w:hAnsi="宋体" w:eastAsia="宋体" w:cs="宋体"/>
          <w:color w:val="000000"/>
        </w:rPr>
        <w:t>年，国王规定凡他管辖下的织工，均须出资或承担义务。这表明，当时的法兰西（</w:t>
      </w:r>
      <w:r>
        <w:rPr>
          <w:rFonts w:ascii="Times New Roman" w:hAnsi="Times New Roman" w:eastAsia="Times New Roman" w:cs="Times New Roman"/>
          <w:color w:val="000000"/>
        </w:rPr>
        <w:t xml:space="preserve">   </w:t>
      </w:r>
      <w:r>
        <w:rPr>
          <w:rFonts w:ascii="宋体" w:hAnsi="宋体" w:eastAsia="宋体" w:cs="宋体"/>
          <w:color w:val="000000"/>
        </w:rPr>
        <w:t>）</w:t>
      </w:r>
    </w:p>
    <w:p w14:paraId="5DFBA6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军事力量亟待发展</w:t>
      </w:r>
      <w:r>
        <w:rPr>
          <w:color w:val="000000"/>
        </w:rPr>
        <w:tab/>
      </w:r>
      <w:r>
        <w:rPr>
          <w:color w:val="000000"/>
        </w:rPr>
        <w:t xml:space="preserve">B. </w:t>
      </w:r>
      <w:r>
        <w:rPr>
          <w:rFonts w:ascii="宋体" w:hAnsi="宋体" w:eastAsia="宋体" w:cs="宋体"/>
          <w:color w:val="000000"/>
        </w:rPr>
        <w:t>疫病影响日渐消散</w:t>
      </w:r>
    </w:p>
    <w:p w14:paraId="705B9C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骑士为雇佣兵替代</w:t>
      </w:r>
      <w:r>
        <w:rPr>
          <w:color w:val="000000"/>
        </w:rPr>
        <w:tab/>
      </w:r>
      <w:r>
        <w:rPr>
          <w:color w:val="000000"/>
        </w:rPr>
        <w:t xml:space="preserve">D. </w:t>
      </w:r>
      <w:r>
        <w:rPr>
          <w:rFonts w:ascii="宋体" w:hAnsi="宋体" w:eastAsia="宋体" w:cs="宋体"/>
          <w:color w:val="000000"/>
        </w:rPr>
        <w:t>教会特权受到削弱</w:t>
      </w:r>
    </w:p>
    <w:p w14:paraId="6753C40C">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17</w:t>
      </w:r>
      <w:r>
        <w:rPr>
          <w:rFonts w:ascii="宋体" w:hAnsi="宋体" w:eastAsia="宋体" w:cs="宋体"/>
          <w:color w:val="000000"/>
        </w:rPr>
        <w:t>世纪下半叶，莫斯科发行了大量语言文法、算术、拉丁语、哲学及医学等书籍，甚至出现两千余套识字课本一天售罄的情况。这反映了当时（</w:t>
      </w:r>
      <w:r>
        <w:rPr>
          <w:rFonts w:ascii="Times New Roman" w:hAnsi="Times New Roman" w:eastAsia="Times New Roman" w:cs="Times New Roman"/>
          <w:color w:val="000000"/>
        </w:rPr>
        <w:t xml:space="preserve">   </w:t>
      </w:r>
      <w:r>
        <w:rPr>
          <w:rFonts w:ascii="宋体" w:hAnsi="宋体" w:eastAsia="宋体" w:cs="宋体"/>
          <w:color w:val="000000"/>
        </w:rPr>
        <w:t>）</w:t>
      </w:r>
    </w:p>
    <w:p w14:paraId="0E0A9A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启蒙运动的延伸</w:t>
      </w:r>
      <w:r>
        <w:rPr>
          <w:color w:val="000000"/>
        </w:rPr>
        <w:tab/>
      </w:r>
      <w:r>
        <w:rPr>
          <w:color w:val="000000"/>
        </w:rPr>
        <w:t xml:space="preserve">B. </w:t>
      </w:r>
      <w:r>
        <w:rPr>
          <w:rFonts w:ascii="宋体" w:hAnsi="宋体" w:eastAsia="宋体" w:cs="宋体"/>
          <w:color w:val="000000"/>
        </w:rPr>
        <w:t>印刷技术的进步</w:t>
      </w:r>
    </w:p>
    <w:p w14:paraId="30FCBC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西欧文化的扩展</w:t>
      </w:r>
      <w:r>
        <w:rPr>
          <w:color w:val="000000"/>
        </w:rPr>
        <w:tab/>
      </w:r>
      <w:r>
        <w:rPr>
          <w:color w:val="000000"/>
        </w:rPr>
        <w:t xml:space="preserve">D. </w:t>
      </w:r>
      <w:r>
        <w:rPr>
          <w:rFonts w:ascii="宋体" w:hAnsi="宋体" w:eastAsia="宋体" w:cs="宋体"/>
          <w:color w:val="000000"/>
        </w:rPr>
        <w:t>国民教育的普及</w:t>
      </w:r>
    </w:p>
    <w:p w14:paraId="5848A97D">
      <w:pPr>
        <w:spacing w:line="360" w:lineRule="auto"/>
        <w:jc w:val="both"/>
        <w:textAlignment w:val="center"/>
        <w:rPr>
          <w:color w:val="000000"/>
        </w:rPr>
      </w:pPr>
      <w:r>
        <w:rPr>
          <w:color w:val="000000"/>
        </w:rPr>
        <w:t xml:space="preserve">15. </w:t>
      </w:r>
      <w:r>
        <w:rPr>
          <w:rFonts w:ascii="宋体" w:hAnsi="宋体" w:eastAsia="宋体" w:cs="宋体"/>
          <w:color w:val="000000"/>
        </w:rPr>
        <w:t>下表呈现了</w:t>
      </w:r>
      <w:r>
        <w:rPr>
          <w:rFonts w:ascii="Times New Roman" w:hAnsi="Times New Roman" w:eastAsia="Times New Roman" w:cs="Times New Roman"/>
          <w:color w:val="000000"/>
        </w:rPr>
        <w:t>19</w:t>
      </w:r>
      <w:r>
        <w:rPr>
          <w:rFonts w:ascii="宋体" w:hAnsi="宋体" w:eastAsia="宋体" w:cs="宋体"/>
          <w:color w:val="000000"/>
        </w:rPr>
        <w:t>世纪中后期到</w:t>
      </w:r>
      <w:r>
        <w:rPr>
          <w:rFonts w:ascii="Times New Roman" w:hAnsi="Times New Roman" w:eastAsia="Times New Roman" w:cs="Times New Roman"/>
          <w:color w:val="000000"/>
        </w:rPr>
        <w:t>20</w:t>
      </w:r>
      <w:r>
        <w:rPr>
          <w:rFonts w:ascii="宋体" w:hAnsi="宋体" w:eastAsia="宋体" w:cs="宋体"/>
          <w:color w:val="000000"/>
        </w:rPr>
        <w:t>世纪初不同时段内，西方国家政治军事类同盟和协定的数量。这一数量变化表明该时期（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27F6512">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单位：个</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1710"/>
      </w:tblGrid>
      <w:tr w14:paraId="06CE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9BD55">
            <w:pPr>
              <w:spacing w:line="360" w:lineRule="auto"/>
              <w:jc w:val="both"/>
              <w:textAlignment w:val="center"/>
              <w:rPr>
                <w:color w:val="000000"/>
              </w:rPr>
            </w:pPr>
            <w:r>
              <w:rPr>
                <w:rFonts w:ascii="宋体" w:hAnsi="宋体" w:eastAsia="宋体" w:cs="宋体"/>
                <w:color w:val="000000"/>
              </w:rPr>
              <w:t>时段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DD68D">
            <w:pPr>
              <w:spacing w:line="360" w:lineRule="auto"/>
              <w:jc w:val="both"/>
              <w:textAlignment w:val="center"/>
              <w:rPr>
                <w:color w:val="000000"/>
              </w:rPr>
            </w:pPr>
            <w:r>
              <w:rPr>
                <w:rFonts w:ascii="宋体" w:hAnsi="宋体" w:eastAsia="宋体" w:cs="宋体"/>
                <w:color w:val="000000"/>
              </w:rPr>
              <w:t>同盟和协定数量</w:t>
            </w:r>
          </w:p>
        </w:tc>
      </w:tr>
      <w:tr w14:paraId="0B80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932CE">
            <w:pPr>
              <w:spacing w:line="360" w:lineRule="auto"/>
              <w:jc w:val="both"/>
              <w:textAlignment w:val="center"/>
              <w:rPr>
                <w:color w:val="000000"/>
              </w:rPr>
            </w:pPr>
            <w:r>
              <w:rPr>
                <w:rFonts w:ascii="Times New Roman" w:hAnsi="Times New Roman" w:eastAsia="Times New Roman" w:cs="Times New Roman"/>
                <w:color w:val="000000"/>
              </w:rPr>
              <w:t>1870</w:t>
            </w:r>
            <w:r>
              <w:rPr>
                <w:rFonts w:ascii="宋体" w:hAnsi="宋体" w:eastAsia="宋体" w:cs="宋体"/>
                <w:color w:val="000000"/>
              </w:rPr>
              <w:t>—</w:t>
            </w:r>
            <w:r>
              <w:rPr>
                <w:rFonts w:ascii="Times New Roman" w:hAnsi="Times New Roman" w:eastAsia="Times New Roman" w:cs="Times New Roman"/>
                <w:color w:val="000000"/>
              </w:rPr>
              <w:t>1879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C7864">
            <w:pPr>
              <w:spacing w:line="360" w:lineRule="auto"/>
              <w:jc w:val="both"/>
              <w:textAlignment w:val="center"/>
              <w:rPr>
                <w:color w:val="000000"/>
              </w:rPr>
            </w:pPr>
            <w:r>
              <w:rPr>
                <w:rFonts w:ascii="Times New Roman" w:hAnsi="Times New Roman" w:eastAsia="Times New Roman" w:cs="Times New Roman"/>
                <w:color w:val="000000"/>
              </w:rPr>
              <w:t>20</w:t>
            </w:r>
          </w:p>
        </w:tc>
      </w:tr>
      <w:tr w14:paraId="7CCE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F9167">
            <w:pPr>
              <w:spacing w:line="360" w:lineRule="auto"/>
              <w:jc w:val="both"/>
              <w:textAlignment w:val="center"/>
              <w:rPr>
                <w:color w:val="000000"/>
              </w:rPr>
            </w:pPr>
            <w:r>
              <w:rPr>
                <w:rFonts w:ascii="Times New Roman" w:hAnsi="Times New Roman" w:eastAsia="Times New Roman" w:cs="Times New Roman"/>
                <w:color w:val="000000"/>
              </w:rPr>
              <w:t>1880</w:t>
            </w:r>
            <w:r>
              <w:rPr>
                <w:rFonts w:ascii="宋体" w:hAnsi="宋体" w:eastAsia="宋体" w:cs="宋体"/>
                <w:color w:val="000000"/>
              </w:rPr>
              <w:t>—</w:t>
            </w:r>
            <w:r>
              <w:rPr>
                <w:rFonts w:ascii="Times New Roman" w:hAnsi="Times New Roman" w:eastAsia="Times New Roman" w:cs="Times New Roman"/>
                <w:color w:val="000000"/>
              </w:rPr>
              <w:t>1889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616BF">
            <w:pPr>
              <w:spacing w:line="360" w:lineRule="auto"/>
              <w:jc w:val="both"/>
              <w:textAlignment w:val="center"/>
              <w:rPr>
                <w:color w:val="000000"/>
              </w:rPr>
            </w:pPr>
            <w:r>
              <w:rPr>
                <w:rFonts w:ascii="Times New Roman" w:hAnsi="Times New Roman" w:eastAsia="Times New Roman" w:cs="Times New Roman"/>
                <w:color w:val="000000"/>
              </w:rPr>
              <w:t>31</w:t>
            </w:r>
          </w:p>
        </w:tc>
      </w:tr>
      <w:tr w14:paraId="48E2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F00EC">
            <w:pPr>
              <w:spacing w:line="360" w:lineRule="auto"/>
              <w:jc w:val="both"/>
              <w:textAlignment w:val="center"/>
              <w:rPr>
                <w:color w:val="000000"/>
              </w:rPr>
            </w:pPr>
            <w:r>
              <w:rPr>
                <w:rFonts w:ascii="Times New Roman" w:hAnsi="Times New Roman" w:eastAsia="Times New Roman" w:cs="Times New Roman"/>
                <w:color w:val="000000"/>
              </w:rPr>
              <w:t>1890</w:t>
            </w:r>
            <w:r>
              <w:rPr>
                <w:rFonts w:ascii="宋体" w:hAnsi="宋体" w:eastAsia="宋体" w:cs="宋体"/>
                <w:color w:val="000000"/>
              </w:rPr>
              <w:t>—</w:t>
            </w:r>
            <w:r>
              <w:rPr>
                <w:rFonts w:ascii="Times New Roman" w:hAnsi="Times New Roman" w:eastAsia="Times New Roman" w:cs="Times New Roman"/>
                <w:color w:val="000000"/>
              </w:rPr>
              <w:t>1899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E2AAE">
            <w:pPr>
              <w:spacing w:line="360" w:lineRule="auto"/>
              <w:jc w:val="both"/>
              <w:textAlignment w:val="center"/>
              <w:rPr>
                <w:color w:val="000000"/>
              </w:rPr>
            </w:pPr>
            <w:r>
              <w:rPr>
                <w:rFonts w:ascii="Times New Roman" w:hAnsi="Times New Roman" w:eastAsia="Times New Roman" w:cs="Times New Roman"/>
                <w:color w:val="000000"/>
              </w:rPr>
              <w:t>61</w:t>
            </w:r>
          </w:p>
        </w:tc>
      </w:tr>
      <w:tr w14:paraId="3DC8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77793">
            <w:pPr>
              <w:spacing w:line="360" w:lineRule="auto"/>
              <w:jc w:val="both"/>
              <w:textAlignment w:val="center"/>
              <w:rPr>
                <w:color w:val="000000"/>
              </w:rPr>
            </w:pPr>
            <w:r>
              <w:rPr>
                <w:rFonts w:ascii="Times New Roman" w:hAnsi="Times New Roman" w:eastAsia="Times New Roman" w:cs="Times New Roman"/>
                <w:color w:val="000000"/>
              </w:rPr>
              <w:t>1900</w:t>
            </w:r>
            <w:r>
              <w:rPr>
                <w:rFonts w:ascii="宋体" w:hAnsi="宋体" w:eastAsia="宋体" w:cs="宋体"/>
                <w:color w:val="000000"/>
              </w:rPr>
              <w:t>—</w:t>
            </w:r>
            <w:r>
              <w:rPr>
                <w:rFonts w:ascii="Times New Roman" w:hAnsi="Times New Roman" w:eastAsia="Times New Roman" w:cs="Times New Roman"/>
                <w:color w:val="000000"/>
              </w:rPr>
              <w:t>1904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2209B">
            <w:pPr>
              <w:spacing w:line="360" w:lineRule="auto"/>
              <w:jc w:val="both"/>
              <w:textAlignment w:val="center"/>
              <w:rPr>
                <w:color w:val="000000"/>
              </w:rPr>
            </w:pPr>
            <w:r>
              <w:rPr>
                <w:rFonts w:ascii="Times New Roman" w:hAnsi="Times New Roman" w:eastAsia="Times New Roman" w:cs="Times New Roman"/>
                <w:color w:val="000000"/>
              </w:rPr>
              <w:t>108</w:t>
            </w:r>
          </w:p>
        </w:tc>
      </w:tr>
    </w:tbl>
    <w:p w14:paraId="0ED28B53">
      <w:pPr>
        <w:spacing w:line="360" w:lineRule="auto"/>
        <w:jc w:val="both"/>
        <w:textAlignment w:val="center"/>
        <w:rPr>
          <w:color w:val="000000"/>
        </w:rPr>
      </w:pPr>
    </w:p>
    <w:p w14:paraId="59D081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世界性国际组织涌现</w:t>
      </w:r>
      <w:r>
        <w:rPr>
          <w:color w:val="000000"/>
        </w:rPr>
        <w:tab/>
      </w:r>
      <w:r>
        <w:rPr>
          <w:color w:val="000000"/>
        </w:rPr>
        <w:t xml:space="preserve">B. </w:t>
      </w:r>
      <w:r>
        <w:rPr>
          <w:rFonts w:ascii="宋体" w:hAnsi="宋体" w:eastAsia="宋体" w:cs="宋体"/>
          <w:color w:val="000000"/>
        </w:rPr>
        <w:t>旧有国际秩序崩溃</w:t>
      </w:r>
    </w:p>
    <w:p w14:paraId="078156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区域一体化进程加速</w:t>
      </w:r>
      <w:r>
        <w:rPr>
          <w:color w:val="000000"/>
        </w:rPr>
        <w:tab/>
      </w:r>
      <w:r>
        <w:rPr>
          <w:color w:val="000000"/>
        </w:rPr>
        <w:t xml:space="preserve">D. </w:t>
      </w:r>
      <w:r>
        <w:rPr>
          <w:rFonts w:ascii="宋体" w:hAnsi="宋体" w:eastAsia="宋体" w:cs="宋体"/>
          <w:color w:val="000000"/>
        </w:rPr>
        <w:t>西方各国矛盾激化</w:t>
      </w:r>
    </w:p>
    <w:p w14:paraId="7842935D">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1968</w:t>
      </w:r>
      <w:r>
        <w:rPr>
          <w:rFonts w:ascii="宋体" w:hAnsi="宋体" w:eastAsia="宋体" w:cs="宋体"/>
          <w:color w:val="000000"/>
        </w:rPr>
        <w:t>年，加勒比自由贸易协会成立，该组织在成立初期规定，“发达”和“不发达”成员国分别在</w:t>
      </w:r>
      <w:r>
        <w:rPr>
          <w:rFonts w:ascii="Times New Roman" w:hAnsi="Times New Roman" w:eastAsia="Times New Roman" w:cs="Times New Roman"/>
          <w:color w:val="000000"/>
        </w:rPr>
        <w:t>5</w:t>
      </w:r>
      <w:r>
        <w:rPr>
          <w:rFonts w:ascii="宋体" w:hAnsi="宋体" w:eastAsia="宋体" w:cs="宋体"/>
          <w:color w:val="000000"/>
        </w:rPr>
        <w:t>年和</w:t>
      </w:r>
      <w:r>
        <w:rPr>
          <w:rFonts w:ascii="Times New Roman" w:hAnsi="Times New Roman" w:eastAsia="Times New Roman" w:cs="Times New Roman"/>
          <w:color w:val="000000"/>
        </w:rPr>
        <w:t>10</w:t>
      </w:r>
      <w:r>
        <w:rPr>
          <w:rFonts w:ascii="宋体" w:hAnsi="宋体" w:eastAsia="宋体" w:cs="宋体"/>
          <w:color w:val="000000"/>
        </w:rPr>
        <w:t>年内取消其他成员国的进口税。这说明该组织（</w:t>
      </w:r>
      <w:r>
        <w:rPr>
          <w:rFonts w:ascii="Times New Roman" w:hAnsi="Times New Roman" w:eastAsia="Times New Roman" w:cs="Times New Roman"/>
          <w:color w:val="000000"/>
        </w:rPr>
        <w:t xml:space="preserve">   </w:t>
      </w:r>
      <w:r>
        <w:rPr>
          <w:rFonts w:ascii="宋体" w:hAnsi="宋体" w:eastAsia="宋体" w:cs="宋体"/>
          <w:color w:val="000000"/>
        </w:rPr>
        <w:t>）</w:t>
      </w:r>
    </w:p>
    <w:p w14:paraId="28B425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具有反殖民主义性质</w:t>
      </w:r>
      <w:r>
        <w:rPr>
          <w:color w:val="000000"/>
        </w:rPr>
        <w:tab/>
      </w:r>
      <w:r>
        <w:rPr>
          <w:color w:val="000000"/>
        </w:rPr>
        <w:t xml:space="preserve">B. </w:t>
      </w:r>
      <w:r>
        <w:rPr>
          <w:rFonts w:ascii="宋体" w:hAnsi="宋体" w:eastAsia="宋体" w:cs="宋体"/>
          <w:color w:val="000000"/>
        </w:rPr>
        <w:t>打破两极格局的束缚</w:t>
      </w:r>
    </w:p>
    <w:p w14:paraId="791009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主张成员国公平合作</w:t>
      </w:r>
      <w:r>
        <w:rPr>
          <w:color w:val="000000"/>
        </w:rPr>
        <w:tab/>
      </w:r>
      <w:r>
        <w:rPr>
          <w:color w:val="000000"/>
        </w:rPr>
        <w:t xml:space="preserve">D. </w:t>
      </w:r>
      <w:r>
        <w:rPr>
          <w:rFonts w:ascii="宋体" w:hAnsi="宋体" w:eastAsia="宋体" w:cs="宋体"/>
          <w:color w:val="000000"/>
        </w:rPr>
        <w:t>提倡资本全球化流动</w:t>
      </w:r>
    </w:p>
    <w:p w14:paraId="02F84CDD">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8F26D34">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1F470D1D">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秦代国家财政可区分为政府财政和皇室财政，分别由治票内史（汉代称大司农）和少府两个机构掌管；汉武帝时，因“外事四夷，内兴功利”遂将原本属于少府掌管的盐铁收入和酒税划拨给大司农；东汉光武帝时，少府掌管的山泽陂池等租税都交由大司农管辖，大司农成为最重要的国家财政管理机构。</w:t>
      </w:r>
    </w:p>
    <w:p w14:paraId="6CB4EDF0">
      <w:pPr>
        <w:spacing w:line="360" w:lineRule="auto"/>
        <w:ind w:firstLine="420"/>
        <w:jc w:val="right"/>
        <w:textAlignment w:val="center"/>
        <w:rPr>
          <w:color w:val="000000"/>
        </w:rPr>
      </w:pPr>
      <w:r>
        <w:rPr>
          <w:rFonts w:ascii="楷体" w:hAnsi="楷体" w:eastAsia="楷体" w:cs="楷体"/>
          <w:color w:val="000000"/>
        </w:rPr>
        <w:t>——据林甘泉主编《中国经济通史·秦汉经济卷》等</w:t>
      </w:r>
    </w:p>
    <w:p w14:paraId="0EF4028D">
      <w:pPr>
        <w:spacing w:line="360" w:lineRule="auto"/>
        <w:jc w:val="both"/>
        <w:textAlignment w:val="center"/>
        <w:rPr>
          <w:color w:val="000000"/>
        </w:rPr>
      </w:pPr>
      <w:r>
        <w:rPr>
          <w:rFonts w:ascii="宋体" w:hAnsi="宋体" w:eastAsia="宋体" w:cs="宋体"/>
          <w:color w:val="000000"/>
        </w:rPr>
        <w:t>根据材料并结合所学知识，说明汉武帝时期国家财政管理体制转变的历史背景，并指出秦汉时期国家财政管理体制演变的趋势。</w:t>
      </w:r>
    </w:p>
    <w:p w14:paraId="4BC956D3">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77CEE7C4">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1931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7</w:t>
      </w:r>
      <w:r>
        <w:rPr>
          <w:rFonts w:ascii="楷体" w:hAnsi="楷体" w:eastAsia="楷体" w:cs="楷体"/>
          <w:color w:val="000000"/>
        </w:rPr>
        <w:t>日，中华苏维埃第一次全国代表大会在瑞金开幕来自各根据地、红军部队以及国民党统治区的共</w:t>
      </w:r>
      <w:r>
        <w:rPr>
          <w:rFonts w:ascii="Times New Roman" w:hAnsi="Times New Roman" w:eastAsia="Times New Roman" w:cs="Times New Roman"/>
          <w:color w:val="000000"/>
        </w:rPr>
        <w:t>610</w:t>
      </w:r>
      <w:r>
        <w:rPr>
          <w:rFonts w:ascii="楷体" w:hAnsi="楷体" w:eastAsia="楷体" w:cs="楷体"/>
          <w:color w:val="000000"/>
        </w:rPr>
        <w:t>名代表出席，大会于当日发布了《中华苏维埃共和国临时政府对外宣言》。大会在通过了《中华苏维埃共和国宪法大纲》等法律文件，选出了由毛泽东等</w:t>
      </w:r>
      <w:r>
        <w:rPr>
          <w:rFonts w:ascii="Times New Roman" w:hAnsi="Times New Roman" w:eastAsia="Times New Roman" w:cs="Times New Roman"/>
          <w:color w:val="000000"/>
        </w:rPr>
        <w:t>63</w:t>
      </w:r>
      <w:r>
        <w:rPr>
          <w:rFonts w:ascii="楷体" w:hAnsi="楷体" w:eastAsia="楷体" w:cs="楷体"/>
          <w:color w:val="000000"/>
        </w:rPr>
        <w:t>人组成的中华苏维埃共和国中央执行委员会后，于</w:t>
      </w:r>
      <w:r>
        <w:rPr>
          <w:rFonts w:ascii="Times New Roman" w:hAnsi="Times New Roman" w:eastAsia="Times New Roman" w:cs="Times New Roman"/>
          <w:color w:val="000000"/>
        </w:rPr>
        <w:t>20</w:t>
      </w:r>
      <w:r>
        <w:rPr>
          <w:rFonts w:ascii="楷体" w:hAnsi="楷体" w:eastAsia="楷体" w:cs="楷体"/>
          <w:color w:val="000000"/>
        </w:rPr>
        <w:t>日闭幕。</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中央执行委员会召开第一次会议，选举毛泽东为中央执行委员会主席，并按照宪法大纲规定，在中央执行委员会下组织人民委员会，负责处理日常政务，选举毛泽东为人民委员会主席，产生了人民委员会各人民委员。</w:t>
      </w:r>
    </w:p>
    <w:p w14:paraId="37AEC717">
      <w:pPr>
        <w:spacing w:line="360" w:lineRule="auto"/>
        <w:ind w:firstLine="420"/>
        <w:jc w:val="right"/>
        <w:textAlignment w:val="center"/>
        <w:rPr>
          <w:color w:val="000000"/>
        </w:rPr>
      </w:pPr>
      <w:r>
        <w:rPr>
          <w:rFonts w:ascii="楷体" w:hAnsi="楷体" w:eastAsia="楷体" w:cs="楷体"/>
          <w:color w:val="000000"/>
        </w:rPr>
        <w:t>——据中共中央党史研究室：《中国共产党历史》等</w:t>
      </w:r>
    </w:p>
    <w:p w14:paraId="77394C65">
      <w:pPr>
        <w:spacing w:line="360" w:lineRule="auto"/>
        <w:jc w:val="both"/>
        <w:textAlignment w:val="center"/>
        <w:rPr>
          <w:color w:val="000000"/>
        </w:rPr>
      </w:pPr>
      <w:r>
        <w:rPr>
          <w:rFonts w:ascii="宋体" w:hAnsi="宋体" w:eastAsia="宋体" w:cs="宋体"/>
          <w:color w:val="000000"/>
        </w:rPr>
        <w:t>关于中华苏维埃共和国成立的具体时间，党史学界有不同的观点。根据材料并结合中华人民共和国的成立，说明中华苏维埃共和国成立的具体时间。</w:t>
      </w:r>
    </w:p>
    <w:p w14:paraId="659A0288">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7AD0D53B">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北宋都城东京通过汴河与江淮相连，水运优势明显，但东京地势平坦，不易防守，且时刻面临着黄河决溢的威胁。为此，北宋政府一方面采取各种措施维持汴河等河道畅通，确保漕运顺利至京，并将东京城内的诸运河与护城河连接起来，形成水道纵横的交通网；另一方面，运用引黄淤灌、修造遥堤、束埽护岸等技术治理河患，并按照边城战斗式样修筑外城，同时深挖外城濠河，达到“高城深池”的效果，确保都城安全。</w:t>
      </w:r>
    </w:p>
    <w:p w14:paraId="4788279F">
      <w:pPr>
        <w:spacing w:line="360" w:lineRule="auto"/>
        <w:ind w:firstLine="420"/>
        <w:jc w:val="right"/>
        <w:textAlignment w:val="center"/>
        <w:rPr>
          <w:color w:val="000000"/>
        </w:rPr>
      </w:pPr>
      <w:r>
        <w:rPr>
          <w:rFonts w:ascii="楷体" w:hAnsi="楷体" w:eastAsia="楷体" w:cs="楷体"/>
          <w:color w:val="000000"/>
        </w:rPr>
        <w:t>——据周宝珠：《宋代东京研究》等</w:t>
      </w:r>
    </w:p>
    <w:p w14:paraId="587B8044">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抗战时期，中共将便于开展游击战的山地作为创建和发展根据地的首选，但也不放弃人力、物力、财力等资源更为丰富的平原地区。在山地根据地政权利用地形优势，充分发挥灵活性，降低敌军武器效力；在平原，则以挖道沟、平毁敌方封锁沟和开展地道战等方式，限制敌人的大规模进攻。根据地政权一方面通过开垦荒地、兴修水利、植树造林等措施，改善自然条件，提高农业产量；另一方面，挖掘和利用土产原料，创办日用品替代工业，开发矿藏和发展重工业，并自制弹药等，保证军需民用。</w:t>
      </w:r>
    </w:p>
    <w:p w14:paraId="48D8178E">
      <w:pPr>
        <w:spacing w:line="360" w:lineRule="auto"/>
        <w:ind w:firstLine="420"/>
        <w:jc w:val="right"/>
        <w:textAlignment w:val="center"/>
        <w:rPr>
          <w:color w:val="000000"/>
        </w:rPr>
      </w:pPr>
      <w:r>
        <w:rPr>
          <w:rFonts w:ascii="楷体" w:hAnsi="楷体" w:eastAsia="楷体" w:cs="楷体"/>
          <w:color w:val="000000"/>
        </w:rPr>
        <w:t>——摘编自李金铮：《中共抗战的生态环境解释》</w:t>
      </w:r>
    </w:p>
    <w:p w14:paraId="65EBD97E">
      <w:pPr>
        <w:spacing w:line="360" w:lineRule="auto"/>
        <w:jc w:val="left"/>
        <w:textAlignment w:val="center"/>
        <w:rPr>
          <w:color w:val="000000"/>
        </w:rPr>
      </w:pPr>
      <w:r>
        <w:rPr>
          <w:color w:val="000000"/>
        </w:rPr>
        <w:t>（1）</w:t>
      </w:r>
      <w:r>
        <w:rPr>
          <w:rFonts w:ascii="宋体" w:hAnsi="宋体" w:eastAsia="宋体" w:cs="宋体"/>
          <w:color w:val="000000"/>
        </w:rPr>
        <w:t>根据材料一，概括北宋政府为保障都城安全所采取的措施。</w:t>
      </w:r>
    </w:p>
    <w:p w14:paraId="0F1273EA">
      <w:pPr>
        <w:spacing w:line="360" w:lineRule="auto"/>
        <w:jc w:val="left"/>
        <w:textAlignment w:val="center"/>
        <w:rPr>
          <w:color w:val="000000"/>
        </w:rPr>
      </w:pPr>
      <w:r>
        <w:rPr>
          <w:color w:val="000000"/>
        </w:rPr>
        <w:t>（2）</w:t>
      </w:r>
      <w:r>
        <w:rPr>
          <w:rFonts w:ascii="宋体" w:hAnsi="宋体" w:eastAsia="宋体" w:cs="宋体"/>
          <w:color w:val="000000"/>
        </w:rPr>
        <w:t>根据材料一、二并结合所学知识，指出北宋都城营建与中共抗日根据地建设在利用改造生态环境上的共通之处，并分析利用改造生态环境对抗日根据地政权的作用。</w:t>
      </w:r>
    </w:p>
    <w:p w14:paraId="0E2271EA">
      <w:pPr>
        <w:spacing w:line="360" w:lineRule="auto"/>
        <w:jc w:val="left"/>
        <w:textAlignment w:val="center"/>
        <w:rPr>
          <w:color w:val="000000"/>
        </w:rPr>
      </w:pPr>
      <w:r>
        <w:rPr>
          <w:color w:val="000000"/>
        </w:rPr>
        <w:t>（3）</w:t>
      </w:r>
      <w:r>
        <w:rPr>
          <w:rFonts w:ascii="宋体" w:hAnsi="宋体" w:eastAsia="宋体" w:cs="宋体"/>
          <w:color w:val="000000"/>
        </w:rPr>
        <w:t>根据材料并结合所学知识，简要谈谈对待生态环境应有的态度。</w:t>
      </w:r>
    </w:p>
    <w:p w14:paraId="42977480">
      <w:pPr>
        <w:spacing w:line="360" w:lineRule="auto"/>
        <w:jc w:val="both"/>
        <w:textAlignment w:val="center"/>
        <w:rPr>
          <w:color w:val="000000"/>
        </w:rPr>
      </w:pPr>
      <w:r>
        <w:rPr>
          <w:color w:val="000000"/>
        </w:rPr>
        <w:t xml:space="preserve">20.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58FBCBFF">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中国国家版本馆的建立，是国家从文化安全和文化复兴的战略考量出发，作出的重大部署。中国国家版本馆将承载中华文明、关乎民族文脉传承的各类版本规划保藏。中华版本是指古今中外载有中华文明印记、文化符号和文脉信息的各类载体，包括但不限于陶石兽骨、金属竹木、实物纸张、虚拟数字。例如，中国国家版本馆中央总馆以“中国古代哲学”为主题，选取《老子道德经》《庄子南华真经》《孟子》《法苑珠林》等为版本资源，具体展现了中国古代学术思想的繁荣。</w:t>
      </w:r>
    </w:p>
    <w:p w14:paraId="0F0DF337">
      <w:pPr>
        <w:spacing w:line="360" w:lineRule="auto"/>
        <w:jc w:val="both"/>
        <w:textAlignment w:val="center"/>
        <w:rPr>
          <w:color w:val="000000"/>
        </w:rPr>
      </w:pPr>
      <w:r>
        <w:rPr>
          <w:rFonts w:ascii="宋体" w:hAnsi="宋体" w:eastAsia="宋体" w:cs="宋体"/>
          <w:color w:val="000000"/>
        </w:rPr>
        <w:t>参照中国国家版本馆关于中华版本的定义和做法，就世界历史上的任一文明，聚焦于某一主题，列出至少三种版本资源并阐明理由。（要求：文明与主题明确，版本资源与主题相符；观点正确、史实准确、阐述充分、逻辑清晰。）</w:t>
      </w:r>
    </w:p>
    <w:p w14:paraId="6DE37983">
      <w:pPr>
        <w:spacing w:line="360" w:lineRule="auto"/>
        <w:jc w:val="both"/>
        <w:textAlignment w:val="center"/>
        <w:rPr>
          <w:color w:val="000000"/>
        </w:rPr>
      </w:pPr>
    </w:p>
    <w:p w14:paraId="3076FEF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14A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36F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8CA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EFD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E36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07C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782AB6"/>
    <w:rsid w:val="38274566"/>
    <w:rsid w:val="587D15DA"/>
    <w:rsid w:val="602D3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3421</Words>
  <Characters>3637</Characters>
  <Lines>0</Lines>
  <Paragraphs>0</Paragraphs>
  <TotalTime>0</TotalTime>
  <ScaleCrop>false</ScaleCrop>
  <LinksUpToDate>false</LinksUpToDate>
  <CharactersWithSpaces>3812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FD8C6E6E37AD427C8C760016CC62D46C_12</vt:lpwstr>
  </property>
</Properties>
</file>