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0544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10998200</wp:posOffset>
            </wp:positionV>
            <wp:extent cx="266700" cy="4699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广东省2024年普通高中学业水平等级考试</w:t>
      </w:r>
    </w:p>
    <w:p w14:paraId="4CF24BE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5A3CF13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</w:p>
    <w:p w14:paraId="0A8CBF3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答卷前，考生务必用黑色字迹钢笔或答字笔将自己的姓名、考生号、考场号和座位号填写在答题卡上。用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铅笔将试卷类型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(A)</w:t>
      </w:r>
      <w:r>
        <w:rPr>
          <w:rFonts w:ascii="宋体" w:hAnsi="宋体" w:eastAsia="宋体" w:cs="宋体"/>
          <w:b/>
          <w:color w:val="auto"/>
          <w:sz w:val="24"/>
        </w:rPr>
        <w:t>填涂在答题卡相应位置上。将条形码横贴任答题卡右上角“条形码粘贴处”</w:t>
      </w:r>
    </w:p>
    <w:p w14:paraId="015D09B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作答选择题时，选出每小题答案后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</w:t>
      </w:r>
      <w:r>
        <w:rPr>
          <w:rFonts w:ascii="宋体" w:hAnsi="宋体" w:eastAsia="宋体" w:cs="宋体"/>
          <w:b/>
          <w:color w:val="auto"/>
          <w:sz w:val="24"/>
        </w:rPr>
        <w:t>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铅笔把答题卡上对应题目选项的答案信息点涂黑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;</w:t>
      </w:r>
      <w:r>
        <w:rPr>
          <w:rFonts w:ascii="宋体" w:hAnsi="宋体" w:eastAsia="宋体" w:cs="宋体"/>
          <w:b/>
          <w:color w:val="auto"/>
          <w:sz w:val="24"/>
        </w:rPr>
        <w:t>如需改动，用橡皮擦干净后，再选涂其他答案，案不能在试卷上。</w:t>
      </w:r>
    </w:p>
    <w:p w14:paraId="7D3737C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非选择题必须用黑色字迹钢笔或签字笔作答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</w:t>
      </w:r>
      <w:r>
        <w:rPr>
          <w:rFonts w:ascii="宋体" w:hAnsi="宋体" w:eastAsia="宋体" w:cs="宋体"/>
          <w:b/>
          <w:color w:val="auto"/>
          <w:sz w:val="24"/>
        </w:rPr>
        <w:t>答案必须写在答题卡各题目指定区域内相应位置上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如需改动，先划掉原来的答案，然后再写上新的答案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不准使用铅笔和涂改液。不按以上要求作答的答案无效。</w:t>
      </w:r>
    </w:p>
    <w:p w14:paraId="59B8CBD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考生必须保持答题卡整洁。考试结束后，将试卷和答题卡一并交回。</w:t>
      </w:r>
    </w:p>
    <w:p w14:paraId="7F66817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分。在每小题列出的四个选项中，只有一项是最符合题目要求的。</w:t>
      </w:r>
    </w:p>
    <w:p w14:paraId="3F96A75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据研究，古代礼制记载的春秋时期酒器礼器，分为爵、觚、觯、角、散五种，称为“五爵”，其名来自于商、周时期的青铜酒器礼器。实际上，春秋时期的五爵为漆木酒器，其容量依次为一至五升，“宗庙祭祀，贵者献以爵、贱者献以散”。春秋时期礼器的变化反映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381DF1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color w:val="auto"/>
        </w:rPr>
        <w:t>五爵形制趋同说明礼崩乐坏   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宗庙祭祀遵循天人合一观念</w:t>
      </w:r>
    </w:p>
    <w:p w14:paraId="0ACFDF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color w:val="auto"/>
        </w:rPr>
        <w:t>采用漆木酒器彰显以人为本</w:t>
      </w:r>
      <w:r>
        <w:tab/>
      </w:r>
      <w:r>
        <w:t xml:space="preserve">D. </w:t>
      </w:r>
      <w:r>
        <w:rPr>
          <w:color w:val="auto"/>
        </w:rPr>
        <w:t>五爵以小为贵维系等级秩序</w:t>
      </w:r>
    </w:p>
    <w:p w14:paraId="55061A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如表《魏书》记载的部分皇帝赏赐</w:t>
      </w:r>
    </w:p>
    <w:tbl>
      <w:tblPr>
        <w:tblStyle w:val="4"/>
        <w:tblW w:w="5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74"/>
        <w:gridCol w:w="3216"/>
      </w:tblGrid>
      <w:tr w14:paraId="69B6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6BB5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道武帝登国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年（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388</w:t>
            </w:r>
            <w:r>
              <w:rPr>
                <w:rFonts w:ascii="宋体" w:hAnsi="宋体" w:eastAsia="宋体" w:cs="宋体"/>
                <w:color w:val="000000"/>
              </w:rPr>
              <w:t>年）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094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杂畜十余万……班赐将士各有差</w:t>
            </w:r>
          </w:p>
        </w:tc>
      </w:tr>
      <w:tr w14:paraId="3230E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40B1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明元帝永兴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年（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413</w:t>
            </w:r>
            <w:r>
              <w:rPr>
                <w:rFonts w:ascii="宋体" w:hAnsi="宋体" w:eastAsia="宋体" w:cs="宋体"/>
                <w:color w:val="000000"/>
              </w:rPr>
              <w:t>年）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4738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赏征还将士牛马、奴婢各有差</w:t>
            </w:r>
          </w:p>
        </w:tc>
      </w:tr>
      <w:tr w14:paraId="63C9E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639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太武帝始光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年（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427</w:t>
            </w:r>
            <w:r>
              <w:rPr>
                <w:rFonts w:ascii="宋体" w:hAnsi="宋体" w:eastAsia="宋体" w:cs="宋体"/>
                <w:color w:val="000000"/>
              </w:rPr>
              <w:t>年）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7527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留台文武生口、缯帛、马牛各有差</w:t>
            </w:r>
          </w:p>
        </w:tc>
      </w:tr>
    </w:tbl>
    <w:p w14:paraId="6035A7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由此可知（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4076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北方游牧经济衰落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封建等级制度森严</w:t>
      </w:r>
    </w:p>
    <w:p w14:paraId="02A502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鲜卑民族习俗的延续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俸禄制改革不彻底</w:t>
      </w:r>
    </w:p>
    <w:p w14:paraId="578EB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两税法依据田地、杂产等资产评定户等，但对杂产种类及其价值没有明确规定。唐文宗时，湖州刺史庾威在所属五县，“自立条制，应田地、奴婢，下及竹、树、鹅、鸭等并估计出税，差军人一千一百五十人散入乡村，检责剩征税钱四千九百余贯”，结果被朝廷以“扰人”罪名贬官。由此可见，两税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4B8F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存在一定的制度缺陷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强化对农民的人身控制</w:t>
      </w:r>
    </w:p>
    <w:p w14:paraId="0E2A86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赋予地方官员加征权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解决了政府的财政困难</w:t>
      </w:r>
    </w:p>
    <w:p w14:paraId="51F6F2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宋代巨贾彭则爱好儒学，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为其子延接师友，不问其费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，曾捐书于州学。郡从事为之记，称其为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贩夫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，彭氏子孙皆耻之。知州认为，彭则所为是善事，遂删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贩夫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二字。这可以用来说明当时（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FC23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士农工商界限被打破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科举制度促进了社会公平</w:t>
      </w:r>
    </w:p>
    <w:p w14:paraId="4BA36C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地方官学教育的普及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文治政策提升了士人地位</w:t>
      </w:r>
    </w:p>
    <w:p w14:paraId="4DB2D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《大元大一统志》是忽必烈下令修纂的全国地理志书，记载了疆域内路府州县古今建置沿革及山川、风俗、里至等内容。该志书修纂时，由各行省提供所辖郡邑的图志及各路府州县的沿革，并利用了西域地图，引进了阿拉伯地图制图法。这反映元朝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996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建立了中原传统影响下的统治秩序</w:t>
      </w:r>
    </w:p>
    <w:p w14:paraId="5FBF38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边疆少数民族地区得到了全面发展</w:t>
      </w:r>
    </w:p>
    <w:p w14:paraId="4535D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地理志修纂体例发生了根本变化</w:t>
      </w:r>
    </w:p>
    <w:p w14:paraId="7D7D6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正式确立了儒家思想的正统地位</w:t>
      </w:r>
    </w:p>
    <w:p w14:paraId="065A5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明朝时，杭州西湖成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四方宾客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渴想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之地。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城中人不事耕种，小民仰给经纪，一春之计全赖西湖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，而官方意欲禁止游览。时人叶权认为：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若禁其游玩，则小民生意绝矣。且其风俗华丽，已入骨髓，虽无西湖，不能遽变。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这反映了当时（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DA89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商业经营方式改变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户籍管理制度混乱</w:t>
      </w:r>
    </w:p>
    <w:p w14:paraId="37611B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商业资本集聚明显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城市商品经济繁荣</w:t>
      </w:r>
    </w:p>
    <w:p w14:paraId="789C6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1884年中法《简明新约》规定：“此约缮中法文各两份，各执一份为据，应按公法通例，以法文为正。”1885年续谈正式约章时，以法文文本为准的条款被慈禧太后“勾掉”，最后签署的中法《越南条款》没有“以法文为正”字样。这表明清政府</w:t>
      </w:r>
    </w:p>
    <w:p w14:paraId="50FEBD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意图抵制西方强权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拒绝融入国际社会</w:t>
      </w:r>
    </w:p>
    <w:p w14:paraId="191E72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有效遏制边疆危机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固守天朝上国观念</w:t>
      </w:r>
    </w:p>
    <w:p w14:paraId="18489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1911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日起，上海某报连续刊载如图所示广告。据此可知，当时（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406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54200"/>
            <wp:effectExtent l="0" t="0" r="0" b="1270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5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B9C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民国政府奖励工商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封建习俗荡涤净尽</w:t>
      </w:r>
    </w:p>
    <w:p w14:paraId="4978A6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共和理念受到推崇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租界权益部分收回</w:t>
      </w:r>
    </w:p>
    <w:p w14:paraId="77FEA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1943年3月，中国国民党以蒋介石的名义抛出《中国之命运》一书，公开提出共产主义和英美式的自由主义都不适合中国，声称：“中国之命运，完全寄托于中国国民党”。这说明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C958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民族统一战线初现裂痕</w:t>
      </w:r>
      <w:r>
        <w:rPr>
          <w:color w:val="000000"/>
        </w:rPr>
        <w:tab/>
      </w:r>
      <w:r>
        <w:rPr>
          <w:color w:val="000000"/>
        </w:rPr>
        <w:t>B. 中国的国际地位未见改善</w:t>
      </w:r>
    </w:p>
    <w:p w14:paraId="1AF7FD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阶级矛盾成</w:t>
      </w:r>
      <w:r>
        <w:rPr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主要矛盾   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国民党试图独占抗战成果</w:t>
      </w:r>
    </w:p>
    <w:p w14:paraId="195A4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 1952年部分城市大型私营工业统购、包销、订货等类商品的产值比重，由此可知（   ）</w:t>
      </w:r>
    </w:p>
    <w:tbl>
      <w:tblPr>
        <w:tblStyle w:val="4"/>
        <w:tblW w:w="3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783"/>
        <w:gridCol w:w="625"/>
        <w:gridCol w:w="783"/>
        <w:gridCol w:w="625"/>
        <w:gridCol w:w="783"/>
      </w:tblGrid>
      <w:tr w14:paraId="0C9E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2EB5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城市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2C5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上海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951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31B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武汉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32FD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西安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2AC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沈阳</w:t>
            </w:r>
          </w:p>
        </w:tc>
      </w:tr>
      <w:tr w14:paraId="143F1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A8A0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323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59.5%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F64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DCF7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65.5%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366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091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59.9%</w:t>
            </w:r>
          </w:p>
        </w:tc>
      </w:tr>
    </w:tbl>
    <w:p w14:paraId="23E620F4">
      <w:pPr>
        <w:spacing w:line="360" w:lineRule="auto"/>
        <w:jc w:val="left"/>
        <w:textAlignment w:val="center"/>
        <w:rPr>
          <w:color w:val="000000"/>
        </w:rPr>
      </w:pPr>
    </w:p>
    <w:p w14:paraId="549508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公私合营企业已占据较大份额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私营资本主义经济显著增强</w:t>
      </w:r>
    </w:p>
    <w:p w14:paraId="2D5F87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国家掌握私营产品的主要部分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单一的公有制结构已经形成</w:t>
      </w:r>
    </w:p>
    <w:p w14:paraId="1C88F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自20世纪80年代中期起，我国的社会保障制度进入真正意义上的改革时代，原有的国家—单位保障制逐渐向国家—社会保障制转变。社会保障制度进入“改革时代”的主要原因是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99D5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市场经济体制的确立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国有企业改革的推进</w:t>
      </w:r>
    </w:p>
    <w:p w14:paraId="6317F6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医疗卫生体系的形成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乡镇企业的大量涌现</w:t>
      </w:r>
    </w:p>
    <w:p w14:paraId="334D1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12. 古代世界的波斯帝国、秦汉王朝、罗马帝国和印加帝国为加强统治，均实行君主专制制度，采取诸如颁布法律、改革币制、修建道路等措施。这反映出古代文明的发展具有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9193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互鉴性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同源性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统一性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同步性</w:t>
      </w:r>
    </w:p>
    <w:p w14:paraId="57C2E7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1794年《人权宣言》在哥伦比亚首次被翻译和秘密印刷。在拉丁美洲的一些大城市，土生白人贵族和知识青年组织了各种秘密结社。“我不是西班牙人，我是美洲人”成为惯常口头语，一种“美洲人”的新观念开始形成。这反映了在拉丁美洲（    ）</w:t>
      </w:r>
    </w:p>
    <w:p w14:paraId="5BD07A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国家认同引发社会变革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思想启蒙激发民族意识</w:t>
      </w:r>
    </w:p>
    <w:p w14:paraId="5CEFAD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独立运动摧毁殖民体系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革命理念得到广泛传播</w:t>
      </w:r>
    </w:p>
    <w:p w14:paraId="785D5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年代，英国棉布涌入伊朗。随后几十年间，物美价廉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英国棉制品比伊朗的丝绸更受欢迎。</w:t>
      </w:r>
      <w:r>
        <w:rPr>
          <w:rFonts w:ascii="Times New Roman" w:hAnsi="Times New Roman" w:eastAsia="Times New Roman" w:cs="Times New Roman"/>
          <w:color w:val="000000"/>
        </w:rPr>
        <w:t>1890</w:t>
      </w:r>
      <w:r>
        <w:rPr>
          <w:rFonts w:ascii="宋体" w:hAnsi="宋体" w:eastAsia="宋体" w:cs="宋体"/>
          <w:color w:val="000000"/>
        </w:rPr>
        <w:t>年，伊斯法罕的丝绸织机数量仅为</w:t>
      </w:r>
      <w:r>
        <w:rPr>
          <w:rFonts w:ascii="Times New Roman" w:hAnsi="Times New Roman" w:eastAsia="Times New Roman" w:cs="Times New Roman"/>
          <w:color w:val="000000"/>
        </w:rPr>
        <w:t>1830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1/10</w:t>
      </w:r>
      <w:r>
        <w:rPr>
          <w:rFonts w:ascii="宋体" w:hAnsi="宋体" w:eastAsia="宋体" w:cs="宋体"/>
          <w:color w:val="000000"/>
        </w:rPr>
        <w:t>。伊朗停止出口丝绸和棉布，转而出口生丝和原棉。这反映伊朗（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8357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沦为英国独占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殖民地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封建统治得到巩固</w:t>
      </w:r>
    </w:p>
    <w:p w14:paraId="18AAA2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经济的对外依附性加强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民族工业初步发展</w:t>
      </w:r>
    </w:p>
    <w:p w14:paraId="2525D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1942年，围绕是否用非暴力方式保卫印度的问题，经过与尼赫鲁的多次争论，甘地表示不反对武装抵抗法西斯，支持尼赫鲁用武力保卫民族利益的立场。这 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E93F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揭示了甘地宗教信条的转变</w:t>
      </w:r>
      <w:r>
        <w:rPr>
          <w:color w:val="000000"/>
        </w:rPr>
        <w:tab/>
      </w:r>
      <w:r>
        <w:rPr>
          <w:color w:val="000000"/>
        </w:rPr>
        <w:t>B. 体现了国大党斗争的策略性</w:t>
      </w:r>
    </w:p>
    <w:p w14:paraId="3D4097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掀起了印度民族解放运动的高潮   </w:t>
      </w:r>
      <w:r>
        <w:rPr>
          <w:color w:val="000000"/>
        </w:rPr>
        <w:tab/>
      </w:r>
      <w:r>
        <w:rPr>
          <w:color w:val="000000"/>
        </w:rPr>
        <w:t>D. 促进了世界反法西斯同盟的形成</w:t>
      </w:r>
    </w:p>
    <w:p w14:paraId="3AF5EE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对抚养未成年人的家庭进行资助的项目源于罗斯福新政时期，最初主要的救助对象是白人贫困家庭；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年代后接受救助的黑人贫困家庭大幅增加，</w:t>
      </w:r>
      <w:r>
        <w:rPr>
          <w:rFonts w:ascii="Times New Roman" w:hAnsi="Times New Roman" w:eastAsia="Times New Roman" w:cs="Times New Roman"/>
          <w:color w:val="000000"/>
        </w:rPr>
        <w:t>1970</w:t>
      </w:r>
      <w:r>
        <w:rPr>
          <w:rFonts w:ascii="宋体" w:hAnsi="宋体" w:eastAsia="宋体" w:cs="宋体"/>
          <w:color w:val="000000"/>
        </w:rPr>
        <w:t>年该项目的受益人中，黑人占了近一半。造成这一变化的原因可能是（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CCF8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国家干预的减少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经济危机日趋严重</w:t>
      </w:r>
    </w:p>
    <w:p w14:paraId="456234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民权运动的高涨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移民问题愈演愈烈</w:t>
      </w:r>
    </w:p>
    <w:p w14:paraId="41B285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1070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乡里制度是古代中国的“治国之基”……阅读下列材料，回答问题。</w:t>
      </w:r>
    </w:p>
    <w:p w14:paraId="1C1FE2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大约抄写于秦灭六国前的秦简《法律问答》记载，里典（里正）和里老共同负责里中的户口，赋税和治安。其中，里典被称为“率敖”，指乡里豪强财力、能得众人拥戴之人。最迟抄写于秦灭六国前后且晚于《法律答问》的秦简《尉卒律》规定，“置典、老，必里相谁（推）”，且典、老由里中年长无爵者担任。</w:t>
      </w:r>
    </w:p>
    <w:p w14:paraId="72B4AB3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    ——摘编自陈侃理《秦汉里吏与基层治理》等</w:t>
      </w:r>
    </w:p>
    <w:p w14:paraId="4F6923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晚清宝坻县档案显示，县级以下的乡保是个关键人物，每个乡保平均管理二十余个村庄的赋税征收和司法事务。他们是不带薪的准官员，由地方提名，经国家批准确认。乡保一般按自己的意图行事。他们处在国家与社会的交汇点上，具有两副面孔。</w:t>
      </w:r>
    </w:p>
    <w:p w14:paraId="42EE247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——摘编自黄宗智《国家与社会的二元合一》</w:t>
      </w:r>
    </w:p>
    <w:p w14:paraId="4ECD05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《周礼》云：“五家为比，十家为联……使之相保相受，刑罚庆赏，相及相共，以受邦职，以役国事，以相葬埋。”比、联等都是在血缘性聚落或居住区内编排的地域性组织。历代乡里制度，无论发生什么变化，都声称遵从《周礼》确立的乡里制度的基本原则。</w:t>
      </w:r>
    </w:p>
    <w:p w14:paraId="2DB52FE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    ——摘编自鲁西奇《中国古代乡里制度研究》</w:t>
      </w:r>
    </w:p>
    <w:p w14:paraId="54F522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问题：</w:t>
      </w:r>
    </w:p>
    <w:p w14:paraId="0242C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指出材料一所体现的秦乡里制度的变化，并简析其原因。</w:t>
      </w:r>
    </w:p>
    <w:p w14:paraId="53DE5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分析材料二中乡保的“两副面孔”。</w:t>
      </w:r>
    </w:p>
    <w:p w14:paraId="0C865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综合上述材料，概括中国古代基层治理的特点。</w:t>
      </w:r>
    </w:p>
    <w:p w14:paraId="7CD23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7F9F13E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12世纪欧洲最有名的集市是香槟集市，它们是位于巴黎东面香槟地区的四个城市。商人用马车或驮畜运来货物，在预定时间、地点相互交易。香槟伯爵在骚乱年代维持了秩序，给商人和旅行者提供居所和保护。到12世纪中叶，香槟集市因其贸易量而蜚声于整个大陆。14世纪初，香槟地区成为法兰西国王属地，国王收取比交易费用更高的费用，如棚舍出租费和销售税等。随着欧洲贸易量的增长，集市城市里的运输和交易已不能满足需求，其重要性开始下降。</w:t>
      </w:r>
    </w:p>
    <w:p w14:paraId="1CC3D33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——摘编自[英]诺尔曼·庞兹《中世纪城市》等</w:t>
      </w:r>
    </w:p>
    <w:p w14:paraId="4C7CDB2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12世纪中期形成的汉萨同盟是一个松散的商业联盟，它由波罗的海、北海沿岸等地的独立城市国家和城镇组成。1370年，同盟获得了对丹麦和波罗的海诸国的贸易垄断权，在北方所有的商业中心拥有贸易站。15世纪，同盟势力和重要性开始下降，诺夫哥罗德、伦敦、布鲁日等贸易站特权被所在国收回。17世纪，中欧和北欧的战争成了对汉萨同盟的最后一击，同盟城市数量逐渐减少。</w:t>
      </w:r>
    </w:p>
    <w:p w14:paraId="33659EA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color w:val="000000"/>
        </w:rPr>
        <w:t> </w:t>
      </w:r>
      <w:r>
        <w:rPr>
          <w:rFonts w:ascii="楷体" w:hAnsi="楷体" w:eastAsia="楷体" w:cs="楷体"/>
          <w:color w:val="000000"/>
        </w:rPr>
        <w:t xml:space="preserve"> ——摘编自[美]布莱恩·蒂尔尼等《西欧中世纪史》等</w:t>
      </w:r>
    </w:p>
    <w:p w14:paraId="3D49B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根据材料一，简析香槟集市的影响。</w:t>
      </w:r>
    </w:p>
    <w:p w14:paraId="28384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根据材料二，分析汉萨同盟衰落的原因。</w:t>
      </w:r>
    </w:p>
    <w:p w14:paraId="10AF0C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综合上述材料，总结</w:t>
      </w:r>
      <w:r>
        <w:rPr>
          <w:rFonts w:ascii="Times New Roman" w:hAnsi="Times New Roman" w:eastAsia="Times New Roman" w:cs="Times New Roman"/>
          <w:color w:val="000000"/>
        </w:rPr>
        <w:t>12—17</w:t>
      </w:r>
      <w:r>
        <w:rPr>
          <w:rFonts w:ascii="宋体" w:hAnsi="宋体" w:eastAsia="宋体" w:cs="宋体"/>
          <w:color w:val="000000"/>
        </w:rPr>
        <w:t>世纪欧洲贸易发展的趋势。</w:t>
      </w:r>
    </w:p>
    <w:p w14:paraId="07EE5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阅读材料并结合所学知识，完成下列要求。</w:t>
      </w:r>
    </w:p>
    <w:p w14:paraId="1019C3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近代以来，广东不仅在反帝反封建的革命史上发挥了举足轻重的作用，而且在推进中国早期现代化进程中也作出了卓越贡献。</w:t>
      </w:r>
    </w:p>
    <w:p w14:paraId="144902F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——摘编自刘云波《晚清岭南文化的三大核心精神》</w:t>
      </w:r>
    </w:p>
    <w:p w14:paraId="5F230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结合材料，围绕“广东与近代中国”自拟一个论题，运用中国近代史的具体史实予以阐述。（要求：论题明确，史论结合，逻辑清晰）</w:t>
      </w:r>
    </w:p>
    <w:p w14:paraId="1050AA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20. 阅读材料并结合所学知识，完成下列要求。</w:t>
      </w:r>
    </w:p>
    <w:p w14:paraId="09DFEE9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第二次世界大战改变了远东格局，美国在亚太地区扩张的头号对手日本已府首称臣，英、法于战后重建有求于美国，它们在华势力大大削弱；而美国的经济和军事实力在战争中空前发展，世界上没有哪个国家与之匹敌，美国追求世界的“领导”地位，它要建立由自己主宰的世界秩序。</w:t>
      </w:r>
    </w:p>
    <w:p w14:paraId="52BB1EE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 ——</w:t>
      </w:r>
      <w:r>
        <w:rPr>
          <w:rFonts w:ascii="楷体" w:hAnsi="楷体" w:eastAsia="楷体" w:cs="楷体"/>
          <w:color w:val="000000"/>
        </w:rPr>
        <w:t>摘编自陶文钊《中美关系史》</w:t>
      </w:r>
    </w:p>
    <w:p w14:paraId="57342B1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新中国成立70年来，以持续学习和反思中创新外交思维与外交实践，从周边和国际体系的融入者、参与者，转变为体系中的贡献者、塑造者与引领者。</w:t>
      </w:r>
    </w:p>
    <w:p w14:paraId="00F3EEA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 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 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 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 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 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 ——</w:t>
      </w:r>
      <w:r>
        <w:rPr>
          <w:rFonts w:ascii="楷体" w:hAnsi="楷体" w:eastAsia="楷体" w:cs="楷体"/>
          <w:color w:val="000000"/>
        </w:rPr>
        <w:t>摘编自魏玲《中国周边外交70年：继承与创新》</w:t>
      </w:r>
    </w:p>
    <w:p w14:paraId="21D92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（1）根据材料，概述第二次世界大战后的远东格局。</w:t>
      </w:r>
    </w:p>
    <w:p w14:paraId="46449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（2）就材料二所示的中国某一角色进行论述。（要求：说明所选角色，论述须有史实依据，逻辑清晰）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26DE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248B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AAE9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C20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C4E0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895A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0A75794"/>
    <w:rsid w:val="38274566"/>
    <w:rsid w:val="5B721720"/>
    <w:rsid w:val="5ED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4058</Words>
  <Characters>4254</Characters>
  <Lines>0</Lines>
  <Paragraphs>0</Paragraphs>
  <TotalTime>0</TotalTime>
  <ScaleCrop>false</ScaleCrop>
  <LinksUpToDate>false</LinksUpToDate>
  <CharactersWithSpaces>4472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8D562EDC35C64C8799E92CDF6A033E41_12</vt:lpwstr>
  </property>
</Properties>
</file>