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7E7FF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11696700</wp:posOffset>
            </wp:positionH>
            <wp:positionV relativeFrom="topMargin">
              <wp:posOffset>11201400</wp:posOffset>
            </wp:positionV>
            <wp:extent cx="317500" cy="393700"/>
            <wp:effectExtent l="0" t="0" r="6350" b="635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海南省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年普通高中学业水平选择性考试</w:t>
      </w:r>
    </w:p>
    <w:p w14:paraId="4F7CD2E0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历史试题</w:t>
      </w:r>
    </w:p>
    <w:p w14:paraId="5635D7F5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一、选择题：本大题共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45</w:t>
      </w:r>
      <w:r>
        <w:rPr>
          <w:rFonts w:ascii="宋体" w:hAnsi="宋体" w:eastAsia="宋体" w:cs="宋体"/>
          <w:b/>
          <w:color w:val="auto"/>
          <w:sz w:val="24"/>
        </w:rPr>
        <w:t>分。分为单项选择题Ⅰ和单项选择题Ⅱ两部分。</w:t>
      </w:r>
    </w:p>
    <w:p w14:paraId="10A851C0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单项选择题Ⅰ：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13</w:t>
      </w:r>
      <w:r>
        <w:rPr>
          <w:rFonts w:ascii="宋体" w:hAnsi="宋体" w:eastAsia="宋体" w:cs="宋体"/>
          <w:b/>
          <w:color w:val="auto"/>
          <w:sz w:val="24"/>
        </w:rPr>
        <w:t>题，每题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39</w:t>
      </w:r>
      <w:r>
        <w:rPr>
          <w:rFonts w:ascii="宋体" w:hAnsi="宋体" w:eastAsia="宋体" w:cs="宋体"/>
          <w:b/>
          <w:color w:val="auto"/>
          <w:sz w:val="24"/>
        </w:rPr>
        <w:t>分。每题只有一个正确选项。</w:t>
      </w:r>
    </w:p>
    <w:p w14:paraId="72A0A8E5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西藏地区考古资料显示</w:t>
      </w:r>
      <w:r>
        <w:rPr>
          <w:rFonts w:ascii="Times New Roman" w:hAnsi="Times New Roman" w:eastAsia="Times New Roman" w:cs="Times New Roman"/>
          <w:color w:val="auto"/>
        </w:rPr>
        <w:t>:</w:t>
      </w:r>
      <w:r>
        <w:rPr>
          <w:rFonts w:ascii="宋体" w:hAnsi="宋体" w:eastAsia="宋体" w:cs="宋体"/>
          <w:color w:val="auto"/>
        </w:rPr>
        <w:t>距今</w:t>
      </w:r>
      <w:r>
        <w:rPr>
          <w:rFonts w:ascii="Times New Roman" w:hAnsi="Times New Roman" w:eastAsia="Times New Roman" w:cs="Times New Roman"/>
          <w:color w:val="auto"/>
        </w:rPr>
        <w:t>5000</w:t>
      </w:r>
      <w:r>
        <w:rPr>
          <w:rFonts w:ascii="宋体" w:hAnsi="宋体" w:eastAsia="宋体" w:cs="宋体"/>
          <w:color w:val="auto"/>
        </w:rPr>
        <w:t>年前后的卡若遗址出现了粟的栽培和猪的饲养；在昌果沟遗址发现了距今</w:t>
      </w:r>
      <w:r>
        <w:rPr>
          <w:rFonts w:ascii="Times New Roman" w:hAnsi="Times New Roman" w:eastAsia="Times New Roman" w:cs="Times New Roman"/>
          <w:color w:val="auto"/>
        </w:rPr>
        <w:t>3370</w:t>
      </w:r>
      <w:r>
        <w:rPr>
          <w:rFonts w:ascii="宋体" w:hAnsi="宋体" w:eastAsia="宋体" w:cs="宋体"/>
          <w:color w:val="auto"/>
        </w:rPr>
        <w:t>年前后的炭化聚和上百粒青稞；在故如甲木和曲踏遗址发现了</w:t>
      </w:r>
      <w:r>
        <w:rPr>
          <w:rFonts w:ascii="Times New Roman" w:hAnsi="Times New Roman" w:eastAsia="Times New Roman" w:cs="Times New Roman"/>
          <w:color w:val="auto"/>
        </w:rPr>
        <w:t>2-4</w:t>
      </w:r>
      <w:r>
        <w:rPr>
          <w:rFonts w:ascii="宋体" w:hAnsi="宋体" w:eastAsia="宋体" w:cs="宋体"/>
          <w:color w:val="auto"/>
        </w:rPr>
        <w:t>世纪的茶叶、丝绸以及青铜与铁等金属制品遗存。这有力佐证了西藏地区（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5294E505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生态环境受到新物种引进的严重影响</w:t>
      </w:r>
    </w:p>
    <w:p w14:paraId="34A5C820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与其他地区存在持续的物质文化交流</w:t>
      </w:r>
    </w:p>
    <w:p w14:paraId="3967154C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在旧石器时代就已经出现了人类活动</w:t>
      </w:r>
    </w:p>
    <w:p w14:paraId="6D8A9DB1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青铜铸造是手工业生产中的主要部门</w:t>
      </w:r>
    </w:p>
    <w:p w14:paraId="2E957FD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狮子不是中国本土物种。有学者研究认为，狮子在战国时期就已经为中国人所了解，其形象从汉代起扎根于中国艺术，代表有看门狮子、象征祥瑞的器物装饰以及狮子舞等，舞狮作为中国民间节庆常有的节目，也成为中国文化的标志之一。这体现了中华优秀传统文化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99F0D0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见贤思齐的重要内涵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兼收并蓄的基本特点</w:t>
      </w:r>
    </w:p>
    <w:p w14:paraId="189D074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崇德尚贤的思想理念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自强不息的精神境界</w:t>
      </w:r>
    </w:p>
    <w:p w14:paraId="470CF46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隋末起义的领导者成分复杂，大致可分为乡民，贵胄大族、豪族官吏三类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起自民间者不占优势。起义从当初逃兵役、反暴政的行为演变为推翻朝的政治斗争。《唐会要》记“创业君臣，俱是贵族”。这说明（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B74FA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隋唐的选官制度发生了重要的转变</w:t>
      </w:r>
    </w:p>
    <w:p w14:paraId="11E8EE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唐初统治阶级内部的权力斗争激烈</w:t>
      </w:r>
    </w:p>
    <w:p w14:paraId="4100E0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隋唐中央行政制度发展到了新阶段</w:t>
      </w:r>
    </w:p>
    <w:p w14:paraId="67D428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唐初统治仍以士族地主为政治基础</w:t>
      </w:r>
    </w:p>
    <w:p w14:paraId="7B978B7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南宋初年在邕州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今广西南宁一带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设有买马司，专门负责从大理等地区买马的事宜。在贸易中除使用银钱以外，还以盐和锦、彩等丝织品进行交换。陆游诗中咏道</w:t>
      </w:r>
      <w:r>
        <w:rPr>
          <w:rFonts w:ascii="Times New Roman" w:hAnsi="Times New Roman" w:eastAsia="Times New Roman" w:cs="Times New Roman"/>
          <w:color w:val="000000"/>
        </w:rPr>
        <w:t>:</w:t>
      </w:r>
      <w:r>
        <w:rPr>
          <w:rFonts w:ascii="宋体" w:hAnsi="宋体" w:eastAsia="宋体" w:cs="宋体"/>
          <w:color w:val="000000"/>
        </w:rPr>
        <w:t>“国家一从失西陲，年年买马西南夷。”这一举措（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9836E6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加深了民族间的交融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缓解了南宋财政危机</w:t>
      </w:r>
    </w:p>
    <w:p w14:paraId="28BE36B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体现了羁縻政策失效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推动了南宋文化繁荣</w:t>
      </w:r>
    </w:p>
    <w:p w14:paraId="76DBF7D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下图是《东坡笠屐图》。其文本故事最早的叙事是东坡在儋耳→观闵客草舍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偶得一箬笠戴归→女小儿皆笑，邑犬皆吠，此后陆续增加了“遇雨”“从农家借箬笠穿屐而回”“东坡向海南友人黎子云借阅柳宗元文集”“东坡看过其笠屐像后自为题咏”等情节。《东坡笠屐图》的故事不断演绎的主要原因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DBA933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09675" cy="15049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6E82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文人通过艺术创作还原真实历史场景</w:t>
      </w:r>
    </w:p>
    <w:p w14:paraId="16D622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民众借助历史人物故事表达精神诉求</w:t>
      </w:r>
    </w:p>
    <w:p w14:paraId="439C83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理学思想强化了社会的伦理道德秩序</w:t>
      </w:r>
    </w:p>
    <w:p w14:paraId="3CE29F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重视家族背景的门第观念仍根深带固</w:t>
      </w:r>
    </w:p>
    <w:p w14:paraId="65B6C94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晚清秀才刘绍宽在</w:t>
      </w:r>
      <w:r>
        <w:rPr>
          <w:rFonts w:ascii="Times New Roman" w:hAnsi="Times New Roman" w:eastAsia="Times New Roman" w:cs="Times New Roman"/>
          <w:color w:val="000000"/>
        </w:rPr>
        <w:t>1894</w:t>
      </w:r>
      <w:r>
        <w:rPr>
          <w:rFonts w:ascii="宋体" w:hAnsi="宋体" w:eastAsia="宋体" w:cs="宋体"/>
          <w:color w:val="000000"/>
        </w:rPr>
        <w:t>年前就阅览过《物理小识》等西学书籍，但仍学经义。</w:t>
      </w:r>
      <w:r>
        <w:rPr>
          <w:rFonts w:ascii="Times New Roman" w:hAnsi="Times New Roman" w:eastAsia="Times New Roman" w:cs="Times New Roman"/>
          <w:color w:val="000000"/>
        </w:rPr>
        <w:t>1896</w:t>
      </w:r>
      <w:r>
        <w:rPr>
          <w:rFonts w:ascii="宋体" w:hAnsi="宋体" w:eastAsia="宋体" w:cs="宋体"/>
          <w:color w:val="000000"/>
        </w:rPr>
        <w:t>年他读了美国学者的《治心免病法》后感慨，“此真心理学，与宋儒无异”。此后数年，他阅读西书范围颇广，但对此并不满意，叹道</w:t>
      </w:r>
      <w:r>
        <w:rPr>
          <w:rFonts w:ascii="Times New Roman" w:hAnsi="Times New Roman" w:eastAsia="Times New Roman" w:cs="Times New Roman"/>
          <w:color w:val="000000"/>
        </w:rPr>
        <w:t>:</w:t>
      </w:r>
      <w:r>
        <w:rPr>
          <w:rFonts w:ascii="宋体" w:hAnsi="宋体" w:eastAsia="宋体" w:cs="宋体"/>
          <w:color w:val="000000"/>
        </w:rPr>
        <w:t>“究之所得新学，尽是皮毛。……非所谓邯郸学步，失其故步欤</w:t>
      </w:r>
      <w:r>
        <w:rPr>
          <w:rFonts w:ascii="Times New Roman" w:hAnsi="Times New Roman" w:eastAsia="Times New Roman" w:cs="Times New Roman"/>
          <w:color w:val="000000"/>
        </w:rPr>
        <w:t>?</w:t>
      </w:r>
      <w:r>
        <w:rPr>
          <w:rFonts w:ascii="宋体" w:hAnsi="宋体" w:eastAsia="宋体" w:cs="宋体"/>
          <w:color w:val="000000"/>
        </w:rPr>
        <w:t>”此情形在清末士绅中并不鲜见。这体现了（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4D5C8E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维新运动未能实现预期目标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帝国主义掀起瓜分中国狂潮</w:t>
      </w:r>
    </w:p>
    <w:p w14:paraId="77A2894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时人理解新时局的矛盾心理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资产阶级民族民主革命兴起</w:t>
      </w:r>
    </w:p>
    <w:p w14:paraId="57ADF9A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鲁迅曾说早期中国新诗大多数是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眼看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”，</w:t>
      </w:r>
      <w:r>
        <w:rPr>
          <w:rFonts w:ascii="宋体" w:hAnsi="宋体" w:eastAsia="宋体" w:cs="宋体"/>
          <w:color w:val="000000"/>
        </w:rPr>
        <w:t>而不是“嘴唱的”，他认为新诗必须要“容易记，又顺口，唱得出来”。抗战时期，不仅有了适合朗诵的新诗，还有了直接谱成歌曲的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歌诗”，如《黄河大合唱》《游击队歌》等。新诗的发展（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2E152D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由地域文化所推动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受个人喜好左右</w:t>
      </w:r>
    </w:p>
    <w:p w14:paraId="1BB1D23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由文人审美所决定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受时代因素影响</w:t>
      </w:r>
    </w:p>
    <w:p w14:paraId="496BF82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码头工人是中国近代城市中典型的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苦力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群体，在上海尤具代表性。建国后上海码头工人的工作开始</w:t>
      </w:r>
      <w:r>
        <w:rPr>
          <w:rFonts w:ascii="Times New Roman" w:hAnsi="Times New Roman" w:eastAsia="Times New Roman" w:cs="Times New Roman"/>
          <w:color w:val="000000"/>
        </w:rPr>
        <w:t>“竞赛</w:t>
      </w:r>
      <w:r>
        <w:rPr>
          <w:rFonts w:ascii="宋体" w:hAnsi="宋体" w:eastAsia="宋体" w:cs="宋体"/>
          <w:color w:val="000000"/>
        </w:rPr>
        <w:t>化</w:t>
      </w:r>
      <w:r>
        <w:rPr>
          <w:rFonts w:ascii="Times New Roman" w:hAnsi="Times New Roman" w:eastAsia="Times New Roman" w:cs="Times New Roman"/>
          <w:color w:val="000000"/>
        </w:rPr>
        <w:t>"</w: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1951</w:t>
      </w:r>
      <w:r>
        <w:rPr>
          <w:rFonts w:ascii="宋体" w:hAnsi="宋体" w:eastAsia="宋体" w:cs="宋体"/>
          <w:color w:val="000000"/>
        </w:rPr>
        <w:t>年上海市运输公司举办的首次劳动竞赛分为团体和个人赛，前三甲可以获得一定奖励。码头工人还被宣传为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替国家增加了财富，爱护人民财产”的模范。这一转变反映了（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4A0DE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社会主义基本制度在中国的建立</w:t>
      </w:r>
    </w:p>
    <w:p w14:paraId="34A308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社会主义工业化建设取得显著成效</w:t>
      </w:r>
    </w:p>
    <w:p w14:paraId="35F88F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中国社会发展方向发生根本改变</w:t>
      </w:r>
    </w:p>
    <w:p w14:paraId="1F2690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中国从落后农业国变为先进工业国</w:t>
      </w:r>
    </w:p>
    <w:p w14:paraId="0ED793C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《人民日报》对海南建省设经济特区三十年来的报道，勾勒出主流媒体对海南记忆的历史图景。建省初期主要聚焦于军队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武警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边防、金融保险、招商引资、人才等方面；进入新世纪，旅游、生态环保、教育、体育、医疗健康等方面获得了更多关注和报道。报道主题的变化反映了（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6D6D77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中华民族伟大复兴的中国梦扬帆起航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中国社会主义建设在探索中曲折发展</w:t>
      </w:r>
    </w:p>
    <w:p w14:paraId="557EDD8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中国社会主义市场经济体制基本确立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中国特色社会主义总体布局更加完善</w:t>
      </w:r>
    </w:p>
    <w:p w14:paraId="324CC69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下图空格处应是（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1D6DCE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3404235"/>
            <wp:effectExtent l="0" t="0" r="0" b="571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3404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CD61E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古埃及文明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阿兹特克文明</w:t>
      </w:r>
    </w:p>
    <w:p w14:paraId="3CA2EDB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地中海文明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古巴比伦文明</w:t>
      </w:r>
    </w:p>
    <w:p w14:paraId="71AED60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Times New Roman" w:hAnsi="Times New Roman" w:eastAsia="Times New Roman" w:cs="Times New Roman"/>
          <w:color w:val="000000"/>
        </w:rPr>
        <w:t>1600</w:t>
      </w:r>
      <w:r>
        <w:rPr>
          <w:rFonts w:ascii="宋体" w:hAnsi="宋体" w:eastAsia="宋体" w:cs="宋体"/>
          <w:color w:val="000000"/>
        </w:rPr>
        <w:t>年，在欧洲如果一个人丢失了贵重物品，就会找当地的巫师用魔法帮忙寻找。到</w:t>
      </w:r>
      <w:r>
        <w:rPr>
          <w:rFonts w:ascii="Times New Roman" w:hAnsi="Times New Roman" w:eastAsia="Times New Roman" w:cs="Times New Roman"/>
          <w:color w:val="000000"/>
        </w:rPr>
        <w:t>1700</w:t>
      </w:r>
      <w:r>
        <w:rPr>
          <w:rFonts w:ascii="宋体" w:hAnsi="宋体" w:eastAsia="宋体" w:cs="宋体"/>
          <w:color w:val="000000"/>
        </w:rPr>
        <w:t>年，上层阶级转而反对使用巫术。</w:t>
      </w:r>
      <w:r>
        <w:rPr>
          <w:rFonts w:ascii="Times New Roman" w:hAnsi="Times New Roman" w:eastAsia="Times New Roman" w:cs="Times New Roman"/>
          <w:color w:val="000000"/>
        </w:rPr>
        <w:t>1750</w:t>
      </w:r>
      <w:r>
        <w:rPr>
          <w:rFonts w:ascii="宋体" w:hAnsi="宋体" w:eastAsia="宋体" w:cs="宋体"/>
          <w:color w:val="000000"/>
        </w:rPr>
        <w:t>年，绝大部分巫师都消失了，人们更喜欢在周报上刊登寻物启事，或求助于新建的失物招领处。人们行为的变化深刻反映了（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EBA1E4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思想解放是社会变革的先导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近代科学兴起推动技术进步</w:t>
      </w:r>
    </w:p>
    <w:p w14:paraId="6398880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大众文化推广历经漫长过程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宗教神学束缚了人们的思想</w:t>
      </w:r>
    </w:p>
    <w:p w14:paraId="4012ACF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宋体" w:hAnsi="宋体" w:eastAsia="宋体" w:cs="宋体"/>
          <w:color w:val="000000"/>
        </w:rPr>
        <w:t>世纪中叶，英国市政厅的设计遵循公开原则。</w:t>
      </w:r>
      <w:r>
        <w:rPr>
          <w:rFonts w:ascii="Times New Roman" w:hAnsi="Times New Roman" w:eastAsia="Times New Roman" w:cs="Times New Roman"/>
          <w:color w:val="000000"/>
        </w:rPr>
        <w:t>1848</w:t>
      </w:r>
      <w:r>
        <w:rPr>
          <w:rFonts w:ascii="宋体" w:hAnsi="宋体" w:eastAsia="宋体" w:cs="宋体"/>
          <w:color w:val="000000"/>
        </w:rPr>
        <w:t>年哈利法克斯市在设计市政厅时决定，其位置应在市中心制高点，须有令人注目的高塔和巨大的钟楼。市政厅竣工剪彩时，威尔士王子到场，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万多名观众参加，还有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万多名学生和大型乐队表演节目。这反映了当时英国（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75FC7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王室权力得到强化</w:t>
      </w:r>
    </w:p>
    <w:p w14:paraId="6EEF61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城市治理体现民主观念</w:t>
      </w:r>
    </w:p>
    <w:p w14:paraId="795800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建筑风格发生改变</w:t>
      </w:r>
    </w:p>
    <w:p w14:paraId="31D839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人文主义思想开始传播</w:t>
      </w:r>
    </w:p>
    <w:p w14:paraId="2219CE2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据</w:t>
      </w:r>
      <w:r>
        <w:rPr>
          <w:rFonts w:ascii="Times New Roman" w:hAnsi="Times New Roman" w:eastAsia="Times New Roman" w:cs="Times New Roman"/>
          <w:color w:val="000000"/>
        </w:rPr>
        <w:t>1984</w:t>
      </w:r>
      <w:r>
        <w:rPr>
          <w:rFonts w:ascii="宋体" w:hAnsi="宋体" w:eastAsia="宋体" w:cs="宋体"/>
          <w:color w:val="000000"/>
        </w:rPr>
        <w:t>年世界银行统计显示，撒哈拉以南非洲部分出口商品的数量与价格的年均增长情况</w:t>
      </w:r>
      <w:r>
        <w:rPr>
          <w:rFonts w:ascii="Times New Roman" w:hAnsi="Times New Roman" w:eastAsia="Times New Roman" w:cs="Times New Roman"/>
          <w:color w:val="000000"/>
        </w:rPr>
        <w:t>(%)</w:t>
      </w:r>
      <w:r>
        <w:rPr>
          <w:rFonts w:ascii="宋体" w:hAnsi="宋体" w:eastAsia="宋体" w:cs="宋体"/>
          <w:color w:val="000000"/>
        </w:rPr>
        <w:t>如表所示。导致其中数据变化的关键因素是（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70"/>
        <w:gridCol w:w="1150"/>
        <w:gridCol w:w="1150"/>
        <w:gridCol w:w="1150"/>
        <w:gridCol w:w="1150"/>
      </w:tblGrid>
      <w:tr w14:paraId="78383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6804E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产品</w:t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2DBEF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数量</w:t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5DF9F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价格</w:t>
            </w:r>
          </w:p>
        </w:tc>
      </w:tr>
      <w:tr w14:paraId="02506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32E04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EAB3B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1961-1970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A815E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1970-1982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FC776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1961-1970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937DB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1970-1982</w:t>
            </w:r>
          </w:p>
        </w:tc>
      </w:tr>
      <w:tr w14:paraId="18FCD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68CA3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9ED8E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31EBE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-0.3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6B25C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F29B5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-7.2</w:t>
            </w:r>
          </w:p>
        </w:tc>
      </w:tr>
      <w:tr w14:paraId="0810B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9E434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咖啡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F47E5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100009" name="图片 100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52DDA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FFBC7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68210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1.8</w:t>
            </w:r>
          </w:p>
        </w:tc>
      </w:tr>
      <w:tr w14:paraId="199FB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4EB4B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花生油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4F54A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5.4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FE225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-7.1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7A3D1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7A8E4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-4.0</w:t>
            </w:r>
          </w:p>
        </w:tc>
      </w:tr>
      <w:tr w14:paraId="64686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0600A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棕榈油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A2A3A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-9.7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7AB24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-6.7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A2C74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-2.3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D6751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-3.2</w:t>
            </w:r>
          </w:p>
        </w:tc>
      </w:tr>
    </w:tbl>
    <w:p w14:paraId="54688180">
      <w:pPr>
        <w:spacing w:line="360" w:lineRule="auto"/>
        <w:jc w:val="both"/>
        <w:textAlignment w:val="center"/>
        <w:rPr>
          <w:color w:val="000000"/>
        </w:rPr>
      </w:pPr>
    </w:p>
    <w:p w14:paraId="5ACD8D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不平等的国际政治经济旧秩序</w:t>
      </w:r>
    </w:p>
    <w:p w14:paraId="0BBA2D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交通条件改善推动了经济发展</w:t>
      </w:r>
    </w:p>
    <w:p w14:paraId="747324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资本主义世界市场的初步确立</w:t>
      </w:r>
    </w:p>
    <w:p w14:paraId="01CDDB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广大发展中国家的团结与合作</w:t>
      </w:r>
    </w:p>
    <w:p w14:paraId="0647558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单项选择题Ⅱ：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题，每题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分。四个选项中有一个选项为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个选项各为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分，错误项为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0</w:t>
      </w:r>
      <w:r>
        <w:rPr>
          <w:rFonts w:ascii="宋体" w:hAnsi="宋体" w:eastAsia="宋体" w:cs="宋体"/>
          <w:b/>
          <w:color w:val="000000"/>
          <w:sz w:val="24"/>
        </w:rPr>
        <w:t>分。选出最佳项，多选不得分。</w:t>
      </w:r>
    </w:p>
    <w:p w14:paraId="4C67D87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基于天圆地方的宇宙观，在春秋战国时期形成了具有中国古代文化基因元素的“天下观”。古籍记载“茫茫禹迹，画为九州”。从汉至元绘制的“天下图”尽管名称各异，但整体布局可概括为“东、南皆海，北缘旷野；四夷环绕，中国独大”。</w:t>
      </w:r>
      <w:r>
        <w:rPr>
          <w:rFonts w:ascii="Times New Roman" w:hAnsi="Times New Roman" w:eastAsia="Times New Roman" w:cs="Times New Roman"/>
          <w:color w:val="000000"/>
        </w:rPr>
        <w:t>1600</w:t>
      </w:r>
      <w:r>
        <w:rPr>
          <w:rFonts w:ascii="宋体" w:hAnsi="宋体" w:eastAsia="宋体" w:cs="宋体"/>
          <w:color w:val="000000"/>
        </w:rPr>
        <w:t>年左右开始，部分“天下图”新增了关于美洲、欧洲等内容，但大多数地图仍未放弃天圆地方的宇宙观。“天下图”的演变轨迹充分说明（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EE3E0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地图绘制提升了对世界的认知</w:t>
      </w:r>
    </w:p>
    <w:p w14:paraId="180A95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文化的连续性增强了华夏认同</w:t>
      </w:r>
    </w:p>
    <w:p w14:paraId="04161B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“中学西渐”丰富世界文化内涵</w:t>
      </w:r>
    </w:p>
    <w:p w14:paraId="432293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传统思想影响古人的“天下观”</w:t>
      </w:r>
    </w:p>
    <w:p w14:paraId="7914AB4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下表内容深刻反映出（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426E3B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18-20</w:t>
      </w:r>
      <w:r>
        <w:rPr>
          <w:rFonts w:ascii="宋体" w:hAnsi="宋体" w:eastAsia="宋体" w:cs="宋体"/>
          <w:color w:val="000000"/>
        </w:rPr>
        <w:t>世纪引发战争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部分焦点问题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011"/>
        <w:gridCol w:w="755"/>
        <w:gridCol w:w="2032"/>
        <w:gridCol w:w="761"/>
        <w:gridCol w:w="1567"/>
        <w:gridCol w:w="1199"/>
      </w:tblGrid>
      <w:tr w14:paraId="33156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98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EF7D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1715-1814年</w:t>
            </w:r>
          </w:p>
        </w:tc>
        <w:tc>
          <w:tcPr>
            <w:tcW w:w="301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FB366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1815-1914年</w:t>
            </w:r>
          </w:p>
        </w:tc>
        <w:tc>
          <w:tcPr>
            <w:tcW w:w="298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DC8E8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1918-1941年</w:t>
            </w:r>
          </w:p>
        </w:tc>
      </w:tr>
      <w:tr w14:paraId="499D7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27C3C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焦点问题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B2A5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频率</w:t>
            </w:r>
          </w:p>
        </w:tc>
        <w:tc>
          <w:tcPr>
            <w:tcW w:w="2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1935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焦点问题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88B65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频率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73420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焦点问题</w:t>
            </w:r>
          </w:p>
        </w:tc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E6ABA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频率</w:t>
            </w:r>
          </w:p>
        </w:tc>
      </w:tr>
      <w:tr w14:paraId="6AD16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48FAE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领土（包括疆界）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4F69D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24</w:t>
            </w:r>
          </w:p>
        </w:tc>
        <w:tc>
          <w:tcPr>
            <w:tcW w:w="2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17388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维护国家或帝国完整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E280D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17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03478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领土</w:t>
            </w:r>
          </w:p>
        </w:tc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2594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14</w:t>
            </w:r>
          </w:p>
        </w:tc>
      </w:tr>
      <w:tr w14:paraId="163CA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BE66F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贸易或航海争议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542D5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13</w:t>
            </w:r>
          </w:p>
        </w:tc>
        <w:tc>
          <w:tcPr>
            <w:tcW w:w="2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AD2EA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领土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0E46A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13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2AEA0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国家或主权生存</w:t>
            </w:r>
          </w:p>
        </w:tc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E7246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11</w:t>
            </w:r>
          </w:p>
        </w:tc>
      </w:tr>
      <w:tr w14:paraId="05338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15DB6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王权或王位继承要求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1D9CC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8</w:t>
            </w:r>
          </w:p>
        </w:tc>
        <w:tc>
          <w:tcPr>
            <w:tcW w:w="2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70CEA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民族解放或创建国家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1A7FE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9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C8F46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执行合约条款</w:t>
            </w:r>
          </w:p>
        </w:tc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E41C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9</w:t>
            </w:r>
          </w:p>
        </w:tc>
      </w:tr>
      <w:tr w14:paraId="1071C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15CEE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国家或政权生存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AB93D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8</w:t>
            </w:r>
          </w:p>
        </w:tc>
        <w:tc>
          <w:tcPr>
            <w:tcW w:w="2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47E64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民族统一或合并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B074F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9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B7F59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战略领土</w:t>
            </w:r>
          </w:p>
        </w:tc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031B5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9</w:t>
            </w:r>
          </w:p>
        </w:tc>
      </w:tr>
    </w:tbl>
    <w:p w14:paraId="4E79F2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生产方式变革决定国际体系更迭</w:t>
      </w:r>
    </w:p>
    <w:p w14:paraId="3DCB7D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民族民主意识觉醒影响国际秩序</w:t>
      </w:r>
    </w:p>
    <w:p w14:paraId="44AB48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领土问题始终是国际争端的热点</w:t>
      </w:r>
    </w:p>
    <w:p w14:paraId="295DF2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国际格局从欧洲中必变为两极对峙</w:t>
      </w:r>
    </w:p>
    <w:p w14:paraId="1432314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55</w:t>
      </w:r>
      <w:r>
        <w:rPr>
          <w:rFonts w:ascii="宋体" w:hAnsi="宋体" w:eastAsia="宋体" w:cs="宋体"/>
          <w:b/>
          <w:color w:val="000000"/>
          <w:sz w:val="24"/>
        </w:rPr>
        <w:t>分。第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13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19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2A909B6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052FE5C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秦汉时期，文书是国家治理的重要工具。从出土文书看，秦汉诸多有关基层民众管理的薄籍，其正本都是藏在乡一级，副本在县。东汉继承了文书藏乡的制度。</w:t>
      </w:r>
    </w:p>
    <w:p w14:paraId="5201F24F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——摘编自卜宪群《秦汉乡里社会演变与国家治理的历史考察》</w:t>
      </w:r>
    </w:p>
    <w:p w14:paraId="712713D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唐宋时期的敦煌文书中有部分契约格式:如《十世纪敦煌遗嘱格式(乙)》其内容提到“吾若死后，不许相诤。……他生莫见佛面，长在地狱，兼受畜生。若不听知，于此为报”；《十世纪敦煌分家文书格式(甲)》其内容提到“骨肉之原，不可有分飞之愿。……长守尊卑之礼”。</w:t>
      </w:r>
    </w:p>
    <w:p w14:paraId="53890EEC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——摘编自张传蛋《中国历代契约会编考释》</w:t>
      </w:r>
    </w:p>
    <w:p w14:paraId="35170CE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  明清徽州文书包括商编路程、民间日用类书等。如《江湖绘图路程》内容包括“士商略”“镇江盐船上楚水路歌”以及渠口村至九江、汉口等地的水陆路程；《广东路程》记录了由江西进广东的水陆路程、广州八景名录等;《路程编歌》具体描述了自钱塘江-断安江溯流而上的沿途所见；《应酬文约有备》内容包括“合同大意式”“抵押借券式”等。</w:t>
      </w:r>
    </w:p>
    <w:p w14:paraId="1EBB99A2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——摘编自王振忠《徽州文书与明清以来的中国史研究》</w:t>
      </w:r>
    </w:p>
    <w:p w14:paraId="66F744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分别概括材料一、二、三体现的文书功能。</w:t>
      </w:r>
    </w:p>
    <w:p w14:paraId="0DC5ED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结合所学知识，说明材料二文书中所载内容出现的主要原因。</w:t>
      </w:r>
    </w:p>
    <w:p w14:paraId="704562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结合所学知识，分析材料三文书内容对研究明清社会的价值。</w:t>
      </w:r>
    </w:p>
    <w:p w14:paraId="7DBDC18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0EBD75C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有学者认为:“五四运动是传媒技术、新式教育、工商业和政治纷争等因素的复合体。”1919年巴黎和会上中国外交失败的消息，之所以能刺激全国并形成巨大的舆论压力和群体性抗议活动，关键在于当时中国社会处于一个基于外贸拉动的对外开放、新式传媒与交通技术改变信息传播方式、西学渐兴、倡导政治共和但新旧纷争深刻激烈的复杂社会形态中。该说法的理由如下:一是自19世纪60年代洋务运动起展开的技术与经济变革，推动了“千古未有之变局”；二是西方近代印刷术传入中国,印刷机可以快速印制小册子、传单等宣传品，这种宣传效应形成维护主权的滔滔民意;三是步入近代以来，多数国家都设立大学以培养人才，大学因知识密集、思想多元而成为信息交流的区域中心。近代信息与交通技术的逐渐普及，造就了五四运动在欧亚大陆、从北京到上海、从城市到乡镇的空间转换，形成了参与规模、话语策略、影响力等方面的近代特征。但如果相信只要有信息技术的推动，即可实现新知识的传递进而引发思潮纷涌和社会运动的话，那就未免过于天真了。</w:t>
      </w:r>
    </w:p>
    <w:p w14:paraId="6A28F00A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——摘编自江沛《传媒、政争、工商业与五四运动的形成》</w:t>
      </w:r>
    </w:p>
    <w:p w14:paraId="48D4BF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（1）根据材料并结合所学知识，概括五四运动爆发的基本条件。</w:t>
      </w:r>
    </w:p>
    <w:p w14:paraId="72496F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（2）结合所学知识，简述五四运动在近代社会“参与规模、话语策略、影响力”的表现。</w:t>
      </w:r>
    </w:p>
    <w:p w14:paraId="08FB4A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辨证分析“只要有信息技术的推动，即可实现新知识的传递进而引发思潮纷涌和社会运动”这一观点。</w:t>
      </w:r>
    </w:p>
    <w:p w14:paraId="7C819CD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387D918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欧洲文明向欧洲以外的传播是与殖民扩张同时进行的。以英格兰人为主的欧洲人分批移民到北美，首先设置定居点；这些定居点逐渐成为一个个的殖民地。这些欧洲移民开始效仿英国的法律处理政事，在殖民地成立议会和代议制政府。在这一阶段中形成一种兼有欧洲文化背景却又实用的“美洲文化”。以美国为例，在独立战争爆发以前，各个殖民地高度自治。独立以后，美国逐渐发展成为世界上第一个实行总统联邦制的合众国。19世纪中叶，美国工业化进程已可与欧洲相匹敌。19世纪后期，美国以跃进的速度追赶欧洲，发动对西班牙的战争，提出门户开放政策，开始参加帝国主义瓜分世界的角逐。欧洲文明自从传入北美，并在美国出现了既同源又发展的“美国文化”后，欧洲文明的范围被放大了。</w:t>
      </w:r>
    </w:p>
    <w:p w14:paraId="151387A9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——摘编自陈乐民、周弘《欧洲文明扩张史》</w:t>
      </w:r>
    </w:p>
    <w:p w14:paraId="06F202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根据材料，概括指出“美国文化”形成的原因。</w:t>
      </w:r>
    </w:p>
    <w:p w14:paraId="0FF538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根据材料并结合所学知识，概述近代欧洲文明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发展在政治制度方面的表现。</w:t>
      </w:r>
    </w:p>
    <w:p w14:paraId="750D013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7090202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史学家张荫麟先生根据东西方历史学实践，提出撰写通史的五个选材标准:</w:t>
      </w:r>
    </w:p>
    <w:p w14:paraId="2E8C99C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（一）新异性的标准。“新异性”说的是“内容的特殊性”，也就是在历史上是否具有新意。史事愈新异则愈重要。</w:t>
      </w:r>
    </w:p>
    <w:p w14:paraId="2915847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（二）实效的标准。史事之直接牵涉和间接影响于人群的苦乐愈大则愈重要。</w:t>
      </w:r>
    </w:p>
    <w:p w14:paraId="7D3B751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（三）文化价值的标准。即是真与美的价值，文化价值愈高的事物愈重要。</w:t>
      </w:r>
    </w:p>
    <w:p w14:paraId="77F1937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（四）训诲功用的标准。训诲功用有两种意义，一是完善的模范，二是成败得失的鉴戒。训诲功用愈大的史事愈重要。</w:t>
      </w:r>
    </w:p>
    <w:p w14:paraId="6FB5685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（五）现状渊源的标准。要了解现状，就要追溯现状的由来。史事和现状之间的关系愈深则愈重要。</w:t>
      </w:r>
    </w:p>
    <w:p w14:paraId="7FED6A7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请任选一个标准，在古代、近代、现代任选一个历史时期，写一段历史。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要求</w:t>
      </w:r>
      <w:r>
        <w:rPr>
          <w:rFonts w:ascii="Times New Roman" w:hAnsi="Times New Roman" w:eastAsia="Times New Roman" w:cs="Times New Roman"/>
          <w:color w:val="000000"/>
        </w:rPr>
        <w:t>:</w:t>
      </w:r>
      <w:r>
        <w:rPr>
          <w:rFonts w:ascii="宋体" w:hAnsi="宋体" w:eastAsia="宋体" w:cs="宋体"/>
          <w:color w:val="000000"/>
        </w:rPr>
        <w:t>明确写出所选标准，自拟题目，选材符合标准并加以阐释，符合逻辑，表述清晰</w:t>
      </w:r>
      <w:r>
        <w:rPr>
          <w:rFonts w:ascii="Times New Roman" w:hAnsi="Times New Roman" w:eastAsia="Times New Roman" w:cs="Times New Roman"/>
          <w:color w:val="000000"/>
        </w:rPr>
        <w:t>)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065516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47BBA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A4B94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E24A4A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8CD3F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D8513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88F1B1B"/>
    <w:rsid w:val="2B956631"/>
    <w:rsid w:val="38274566"/>
    <w:rsid w:val="4A5E5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4547</Words>
  <Characters>4802</Characters>
  <Lines>0</Lines>
  <Paragraphs>0</Paragraphs>
  <TotalTime>0</TotalTime>
  <ScaleCrop>false</ScaleCrop>
  <LinksUpToDate>false</LinksUpToDate>
  <CharactersWithSpaces>4946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2026-02-10T06:36:00Z</dcterms:created>
  <dc:creator>Administrator</dc:creator>
  <cp:lastModifiedBy>上帝掷骰子吗</cp:lastModifiedBy>
  <dcterms:modified xsi:type="dcterms:W3CDTF">2026-02-10T06:55:13Z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DEFAB68131BE4FB09B9D0C36D8B19ABD_12</vt:lpwstr>
  </property>
</Properties>
</file>