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C02D6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12255500</wp:posOffset>
            </wp:positionV>
            <wp:extent cx="266700" cy="469900"/>
            <wp:effectExtent l="0" t="0" r="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湖北省2024年普通高中学业水平等级考试</w:t>
      </w:r>
    </w:p>
    <w:p w14:paraId="5ED9D64F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</w:t>
      </w:r>
    </w:p>
    <w:p w14:paraId="0BBB66F8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9EBB81C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．答题前，先将自己的姓名、准考证号、考场号、座位号填写在试卷和答题卡上，并认真核准准考证号条形码上的以上信息，将条形码粘贴在答题卡上的指定位置。</w:t>
      </w:r>
    </w:p>
    <w:p w14:paraId="40F6D03A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．请按题号顺序在答题卡上各题目的答题区域内作答，写在试卷、草稿纸和答题卡上的非答题区域均无效。</w:t>
      </w:r>
    </w:p>
    <w:p w14:paraId="6D1ED309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铅笔在答题卡上把所选答案的标号涂黑；非选择题用黑色签字笔在答题卡上作答；字体工整，笔迹清楚。</w:t>
      </w:r>
    </w:p>
    <w:p w14:paraId="38C6C786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．考试结束后，请将试卷和答题卡一并上交。</w:t>
      </w:r>
    </w:p>
    <w:p w14:paraId="183EAAEF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5DBCDB08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湖北襄阳凤凰咀遗址出土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“蛋壳陶杯”（如下图）制作精美，陶胎轻薄，杯壁厚度不超过</w:t>
      </w:r>
      <w:r>
        <w:rPr>
          <w:rFonts w:ascii="Times New Roman" w:hAnsi="Times New Roman" w:eastAsia="Times New Roman" w:cs="Times New Roman"/>
          <w:color w:val="auto"/>
        </w:rPr>
        <w:t>0.5</w:t>
      </w:r>
      <w:r>
        <w:rPr>
          <w:rFonts w:ascii="宋体" w:hAnsi="宋体" w:eastAsia="宋体" w:cs="宋体"/>
          <w:color w:val="auto"/>
        </w:rPr>
        <w:t>毫米。一般认为，蛋壳陶杯是显示尊贵身份的礼器。该类器物此前主要发现于龙山文化遗存，在其他地区极为罕见。据此可推断（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396C3CD">
      <w:pPr>
        <w:spacing w:line="360" w:lineRule="auto"/>
        <w:jc w:val="both"/>
      </w:pPr>
      <w:r>
        <w:drawing>
          <wp:inline distT="0" distB="0" distL="114300" distR="114300">
            <wp:extent cx="476250" cy="12287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drawing>
          <wp:inline distT="0" distB="0" distL="114300" distR="114300">
            <wp:extent cx="933450" cy="9239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16B71">
      <w:pPr>
        <w:spacing w:line="360" w:lineRule="auto"/>
        <w:ind w:firstLine="210"/>
        <w:jc w:val="both"/>
      </w:pPr>
      <w:r>
        <w:rPr>
          <w:rFonts w:ascii="宋体" w:hAnsi="宋体" w:eastAsia="宋体" w:cs="宋体"/>
          <w:color w:val="auto"/>
        </w:rPr>
        <w:t>正视图    俯视图</w:t>
      </w:r>
    </w:p>
    <w:p w14:paraId="7F1E04A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早期国家认同已广泛形成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南北地区间贸易往来较为频繁</w:t>
      </w:r>
    </w:p>
    <w:p w14:paraId="13DD40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史前文明存</w:t>
      </w:r>
      <w:r>
        <w:rPr>
          <w:rFonts w:ascii="宋体" w:hAnsi="宋体" w:eastAsia="宋体" w:cs="宋体"/>
          <w:color w:val="auto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远距离交流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凤凰咀遗存与大汶口文化同期</w:t>
      </w:r>
    </w:p>
    <w:p w14:paraId="1A974A7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《岳麓书院藏秦简》记载：“丞相其以制明告郡县……毋令吏以苛徭夺黔首春夏时。令皆明焉，以为恒。不从令者，赀（处罚）丞、令、令史、尉、尉史、士吏、发弩各二甲（甲胄）。”这表明秦朝（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07E7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相权挑战皇权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延续秦国耕战国策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统治残暴严苛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崇尚儒家民本思想</w:t>
      </w:r>
    </w:p>
    <w:p w14:paraId="4539FA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唐朝后期，一位河朔藩镇幕僚述及本镇节度使更替时称，朝廷要么立刻任命亲王遥领节度使一职，要么搁置数月，之后才正式任命本镇推举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节度使。而具体的任命，通常由宦官传达。这说明此时（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57F26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藩镇的独立性受限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官员任免程序规范</w:t>
      </w:r>
    </w:p>
    <w:p w14:paraId="56BD6EC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外重内轻局面出现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宦官权力有所扩大</w:t>
      </w:r>
    </w:p>
    <w:p w14:paraId="76ABF4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元英宗即位初，中书省奏议：南宋故地纳入版图四十余年来，有田地的纳地税，做买卖的纳商税，此外别无征发，比北方的汉人负担要轻；田多的富户们，有的一年收二三十万石租子，纳的官粮却轻。据此可知，元朝前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2DA9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抑制土地兼并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优容江南经济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简化赋税名目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提高南人地位</w:t>
      </w:r>
    </w:p>
    <w:p w14:paraId="7FDAC6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赵翼《廿二史札记》中有“明祖行事多仿汉高”条：“明祖以布衣起事，与汉高同，故幕下士多以汉高事陈说于前，明祖亦遂有一汉高在胸中，而行事多仿之。”下列举措符合这一说法的是（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85AC6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定鼎前朝旧都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推行文化专制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废除行政中枢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建立宗室藩屏</w:t>
      </w:r>
    </w:p>
    <w:p w14:paraId="4C645BB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近代中国第一代外交官郭嵩焘等多是传统科举出身，不谙外语，了解西方有限；第二代外交官陆征祥等基本出身于同文馆、广方言馆等，外语能力尚可，相对了解西方；第三代外交官顾维钧等基本都有海外留学经历，外语娴熟，非常了解西方。这种演变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BE48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受益于民主革命思想的深化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促成近代中外关系的平等</w:t>
      </w:r>
    </w:p>
    <w:p w14:paraId="3CCEDE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体现中国外交的近代化趋向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适应晚清政治体制的变革</w:t>
      </w:r>
    </w:p>
    <w:p w14:paraId="5B81C43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下表是</w:t>
      </w:r>
      <w:r>
        <w:rPr>
          <w:rFonts w:ascii="Times New Roman" w:hAnsi="Times New Roman" w:eastAsia="Times New Roman" w:cs="Times New Roman"/>
          <w:color w:val="000000"/>
        </w:rPr>
        <w:t>1925</w:t>
      </w:r>
      <w:r>
        <w:rPr>
          <w:rFonts w:ascii="宋体" w:hAnsi="宋体" w:eastAsia="宋体" w:cs="宋体"/>
          <w:color w:val="000000"/>
        </w:rPr>
        <w:t>年中国部分省份的岁入、岁出总额及军费数据（单位：银元）。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080"/>
        <w:gridCol w:w="1080"/>
        <w:gridCol w:w="975"/>
        <w:gridCol w:w="1080"/>
        <w:gridCol w:w="975"/>
        <w:gridCol w:w="975"/>
      </w:tblGrid>
      <w:tr w14:paraId="39D47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AE5672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省份</w:t>
            </w:r>
          </w:p>
          <w:p w14:paraId="41A47F0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名目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79344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奉天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ED23A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直隶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D997B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山西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86FCE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江苏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26D3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广西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BE73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云南</w:t>
            </w:r>
          </w:p>
        </w:tc>
      </w:tr>
      <w:tr w14:paraId="5F224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84021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岁入总额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084C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12393554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64EC6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9342163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B489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7335692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B06EB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16777315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E3151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4104141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FD66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2218068</w:t>
            </w:r>
          </w:p>
        </w:tc>
      </w:tr>
      <w:tr w14:paraId="4F6FF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3F42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岁出总额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BA35E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10131248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A505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10961692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762AB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8021263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5088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14892393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B92CD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7469452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3A84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4260138</w:t>
            </w:r>
          </w:p>
        </w:tc>
      </w:tr>
      <w:tr w14:paraId="0BA99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91D5E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军费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3398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6918538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154C9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6692844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284F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5636044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F69D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6122374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AAD2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5673435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6A949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2131416</w:t>
            </w:r>
          </w:p>
        </w:tc>
      </w:tr>
    </w:tbl>
    <w:p w14:paraId="496B196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该表可论证（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82135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①民族资本主义发展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②北洋政府收支失衡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③国民革命的迫切性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④南北军阀一丘之貉</w:t>
      </w:r>
    </w:p>
    <w:p w14:paraId="376A92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CDA761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大学生杨静远曾坚持“我一个学文学的，对政治根本不发生兴趣”。</w:t>
      </w:r>
      <w:r>
        <w:rPr>
          <w:rFonts w:ascii="Times New Roman" w:hAnsi="Times New Roman" w:eastAsia="Times New Roman" w:cs="Times New Roman"/>
          <w:color w:val="000000"/>
        </w:rPr>
        <w:t>1944</w:t>
      </w:r>
      <w:r>
        <w:rPr>
          <w:rFonts w:ascii="宋体" w:hAnsi="宋体" w:eastAsia="宋体" w:cs="宋体"/>
          <w:color w:val="000000"/>
        </w:rPr>
        <w:t>年豫湘桂战役后，她开始意识到“国家真是每个人的”，决意“要把自己献给我的国家”，主动了解中共政纲，进而走上革命道路。杨静远的转变折射出（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2C62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全民族抗日救亡运动高涨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中共中流砥柱作用得到认可</w:t>
      </w:r>
    </w:p>
    <w:p w14:paraId="626304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国民党政权深陷统治危机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和平建国成为人民共同愿望</w:t>
      </w:r>
    </w:p>
    <w:p w14:paraId="5999560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1948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，中共中央原则通过《关于目前党的政策中的几个重要问题》，在征求意见过程中引发热烈讨论。因各解放区分歧较大，该文件最终未成为正式决定，代之以一系列细致且分门别类的具体指示。由此可见中国共产党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4506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巩固统一战线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坚持实事求是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转变工作重心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注重自身建设</w:t>
      </w:r>
    </w:p>
    <w:p w14:paraId="347427C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年代中期，国家计划在城市建立身份证制度，因客观条件及种种原因而没有实施。</w:t>
      </w:r>
      <w:r>
        <w:rPr>
          <w:rFonts w:ascii="Times New Roman" w:hAnsi="Times New Roman" w:eastAsia="Times New Roman" w:cs="Times New Roman"/>
          <w:color w:val="000000"/>
        </w:rPr>
        <w:t>1983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月，公安部党组在给党中央的报告中，提请国家立法，实行《公民证》制度，得到批准。</w:t>
      </w:r>
      <w:r>
        <w:rPr>
          <w:rFonts w:ascii="Times New Roman" w:hAnsi="Times New Roman" w:eastAsia="Times New Roman" w:cs="Times New Roman"/>
          <w:color w:val="000000"/>
        </w:rPr>
        <w:t>1985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日，《中华人民共和国居民身份证条例》开始施行。该条例的施行反映（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E3A1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依法治国成为基本国策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体制改革助推基层自治</w:t>
      </w:r>
    </w:p>
    <w:p w14:paraId="2F7655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经济发展缩小城乡差距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人口流动推进政策调整</w:t>
      </w:r>
    </w:p>
    <w:p w14:paraId="4912C8E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罗马帝国皇帝奥古斯都为了维护统治，建立禁卫军并给予他们特殊待遇。后续皇帝不但遵循给禁卫军发放大量赏金的惯例，而且发放金额越来越大。禁卫军甚至认为皇帝的任命必须征得他们的同意。这显示罗马帝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48102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军人集团威胁政权稳定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经济繁荣提升军人待遇</w:t>
      </w:r>
    </w:p>
    <w:p w14:paraId="0EC67F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皇帝赏赐增强军队战力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边境压力增加军费支出</w:t>
      </w:r>
    </w:p>
    <w:p w14:paraId="522571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中世纪中前期，地中海地区的主流通货是拜占庭帝国的苏勒德斯金币、阿拉伯帝国的第纳尔金币。自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世纪中叶起，佛罗伦萨的弗洛林金币和威尼斯的杜卡托金币取代它们，成为地中海贸易的主流通货。这一转变的原因是（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B9BE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意大利民族国家兴起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封建庄园制度的成熟</w:t>
      </w:r>
    </w:p>
    <w:p w14:paraId="2F6F8A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大量贵金属涌入欧洲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城市商品经济的发展</w:t>
      </w:r>
    </w:p>
    <w:p w14:paraId="5BD105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1669</w:t>
      </w:r>
      <w:r>
        <w:rPr>
          <w:rFonts w:ascii="宋体" w:hAnsi="宋体" w:eastAsia="宋体" w:cs="宋体"/>
          <w:color w:val="000000"/>
        </w:rPr>
        <w:t>年，国际贸易重要港口阿姆斯特丹在全城设立了多达</w:t>
      </w:r>
      <w:r>
        <w:rPr>
          <w:rFonts w:ascii="Times New Roman" w:hAnsi="Times New Roman" w:eastAsia="Times New Roman" w:cs="Times New Roman"/>
          <w:color w:val="000000"/>
        </w:rPr>
        <w:t>1800</w:t>
      </w:r>
      <w:r>
        <w:rPr>
          <w:rFonts w:ascii="宋体" w:hAnsi="宋体" w:eastAsia="宋体" w:cs="宋体"/>
          <w:color w:val="000000"/>
        </w:rPr>
        <w:t>盏街灯，由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名城市点灯人负责运营。该市还雇佣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名市民每夜在大街小巷巡逻。造访该城的来客纷纷注意到这里少有犯罪和骚乱。同期，伦敦的夜晚也沐浴在玻璃灯笼的光辉之中。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世纪末，欧洲人第一次驯服了夜晚。据此可推断（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B789E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西欧海外活动获利丰厚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科学发展拓展人类活动空间</w:t>
      </w:r>
    </w:p>
    <w:p w14:paraId="36C412E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世界经济格局发生巨变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工业革命提升城市管理水平</w:t>
      </w:r>
    </w:p>
    <w:p w14:paraId="67F4F50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1913</w:t>
      </w:r>
      <w:r>
        <w:rPr>
          <w:rFonts w:ascii="宋体" w:hAnsi="宋体" w:eastAsia="宋体" w:cs="宋体"/>
          <w:color w:val="000000"/>
        </w:rPr>
        <w:t>年，多米尼加对德国进出口占其对外贸易总额约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，到</w:t>
      </w:r>
      <w:r>
        <w:rPr>
          <w:rFonts w:ascii="Times New Roman" w:hAnsi="Times New Roman" w:eastAsia="Times New Roman" w:cs="Times New Roman"/>
          <w:color w:val="000000"/>
        </w:rPr>
        <w:t>1916</w:t>
      </w:r>
      <w:r>
        <w:rPr>
          <w:rFonts w:ascii="宋体" w:hAnsi="宋体" w:eastAsia="宋体" w:cs="宋体"/>
          <w:color w:val="000000"/>
        </w:rPr>
        <w:t>年这两项数据均清零。</w:t>
      </w:r>
      <w:r>
        <w:rPr>
          <w:rFonts w:ascii="Times New Roman" w:hAnsi="Times New Roman" w:eastAsia="Times New Roman" w:cs="Times New Roman"/>
          <w:color w:val="000000"/>
        </w:rPr>
        <w:t>1914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1917</w:t>
      </w:r>
      <w:r>
        <w:rPr>
          <w:rFonts w:ascii="宋体" w:hAnsi="宋体" w:eastAsia="宋体" w:cs="宋体"/>
          <w:color w:val="000000"/>
        </w:rPr>
        <w:t>年，阿根廷三大农产品大麦、小麦和亚麻的出口量价齐跌。尽管战时需求挽救了巴西橡胶业，但其咖啡贸易在</w:t>
      </w:r>
      <w:r>
        <w:rPr>
          <w:rFonts w:ascii="Times New Roman" w:hAnsi="Times New Roman" w:eastAsia="Times New Roman" w:cs="Times New Roman"/>
          <w:color w:val="000000"/>
        </w:rPr>
        <w:t>1914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1915</w:t>
      </w:r>
      <w:r>
        <w:rPr>
          <w:rFonts w:ascii="宋体" w:hAnsi="宋体" w:eastAsia="宋体" w:cs="宋体"/>
          <w:color w:val="000000"/>
        </w:rPr>
        <w:t>年间下降了三分之一。</w:t>
      </w:r>
      <w:r>
        <w:rPr>
          <w:rFonts w:ascii="Times New Roman" w:hAnsi="Times New Roman" w:eastAsia="Times New Roman" w:cs="Times New Roman"/>
          <w:color w:val="000000"/>
        </w:rPr>
        <w:t>1914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1918</w:t>
      </w:r>
      <w:r>
        <w:rPr>
          <w:rFonts w:ascii="宋体" w:hAnsi="宋体" w:eastAsia="宋体" w:cs="宋体"/>
          <w:color w:val="000000"/>
        </w:rPr>
        <w:t>年，上海、大阪的现代纺织厂产量暴增。这些现象反映（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ED78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世界市场因战争濒临崩溃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欧美国家侵略重心转移</w:t>
      </w:r>
    </w:p>
    <w:p w14:paraId="52EE5F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第一次世界大战的全球性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单一产业结构弊端显现</w:t>
      </w:r>
    </w:p>
    <w:p w14:paraId="6492FB6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年代，联邦德国盛产怀旧电影。这些影片多数是纳粹时期电影的翻版，取景于风光优美的德国南部山区，勾画出未遭炮火的乡村和纯朴快乐的民众——“没有受到最近历史的玷污，也没有受到东西方势力的占领”。这反映出当时联邦德国社会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C4602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积极反思纳粹罪行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致力于摆脱战败阴影</w:t>
      </w:r>
    </w:p>
    <w:p w14:paraId="4B4EF21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重视传承电影艺术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热衷于重构本国历史</w:t>
      </w:r>
    </w:p>
    <w:p w14:paraId="025F132B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26D5529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农耕文明与疆域变迁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16FAC2B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</w:p>
    <w:p w14:paraId="76D6C6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33650" cy="18002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13A9C">
      <w:pPr>
        <w:spacing w:line="360" w:lineRule="auto"/>
        <w:ind w:firstLine="115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西汉形势图</w:t>
      </w:r>
    </w:p>
    <w:p w14:paraId="160AF78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张骞“凿空”后，西汉开始控制西域，第一次形成由河西走廊连接中原和西域的版图，形状如图。</w:t>
      </w:r>
    </w:p>
    <w:p w14:paraId="4510658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西汉末年，西域为匈奴所控制。东汉前期，朝廷恢复对西域的管控。东汉末年，中原政权再次失去西域。曹魏西晋时期，该形状的版图再一次形成。东晋十六国南北朝时期，西域为高车等游牧政权所据有。盛唐时期，该形状的版图又一次形成。</w:t>
      </w:r>
    </w:p>
    <w:p w14:paraId="14B687B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——摘编自翦伯赞《中国史纲要》等</w:t>
      </w:r>
    </w:p>
    <w:p w14:paraId="7471BA9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中原王朝一般属于农耕政权，生存和发展的基础是农业，经营的区域往往是农耕区。其疆域也往往以该区域的边缘为界：北阻大漠、草原，沿年均</w:t>
      </w:r>
      <w:r>
        <w:rPr>
          <w:rFonts w:ascii="Times New Roman" w:hAnsi="Times New Roman" w:eastAsia="Times New Roman" w:cs="Times New Roman"/>
          <w:color w:val="000000"/>
        </w:rPr>
        <w:t>400</w:t>
      </w:r>
      <w:r>
        <w:rPr>
          <w:rFonts w:ascii="楷体" w:hAnsi="楷体" w:eastAsia="楷体" w:cs="楷体"/>
          <w:color w:val="000000"/>
        </w:rPr>
        <w:t>毫米等降水量线修筑长城，区隔游牧；东南阻于浩瀚无垠的太平洋；西南阻于山高流急的横断山脉和高耸入云的青藏高原；只有西北沿河西走廊的狭长农耕带通向新疆。</w:t>
      </w:r>
    </w:p>
    <w:p w14:paraId="6AA8AA7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新疆以天山为界，北有准噶尔盆地，南有塔里木盆地，环塔里木盆地边缘的雪山融化，形成了绿洲农业，也便于中原王朝驻屯军队。</w:t>
      </w:r>
    </w:p>
    <w:p w14:paraId="4BC8B58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——摘编自冯天瑜等《中华文化史》等</w:t>
      </w:r>
    </w:p>
    <w:p w14:paraId="4AC7C8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根据材料一并结合所学，指出西汉时期西部版图相较秦朝时的变化，以及相应的管理机构设置。</w:t>
      </w:r>
    </w:p>
    <w:p w14:paraId="15E1AC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根据材料并结合所学，分析该形状版图反复出现的原因。</w:t>
      </w:r>
    </w:p>
    <w:p w14:paraId="51A1C60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五四期刊与社会思潮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002C87F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以五四运动为中心的前后时期（</w:t>
      </w:r>
      <w:r>
        <w:rPr>
          <w:rFonts w:ascii="Times New Roman" w:hAnsi="Times New Roman" w:eastAsia="Times New Roman" w:cs="Times New Roman"/>
          <w:color w:val="000000"/>
        </w:rPr>
        <w:t>1915—1923</w:t>
      </w:r>
      <w:r>
        <w:rPr>
          <w:rFonts w:ascii="楷体" w:hAnsi="楷体" w:eastAsia="楷体" w:cs="楷体"/>
          <w:color w:val="000000"/>
        </w:rPr>
        <w:t>年），大量期刊涌现。下图是五四时期期刊创办情况：</w:t>
      </w:r>
    </w:p>
    <w:p w14:paraId="44F4C15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33750" cy="17907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18E8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——摘编自杜波《五四时期期刊研究》</w:t>
      </w:r>
    </w:p>
    <w:p w14:paraId="7585DBD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创办于</w:t>
      </w:r>
      <w:r>
        <w:rPr>
          <w:rFonts w:ascii="Times New Roman" w:hAnsi="Times New Roman" w:eastAsia="Times New Roman" w:cs="Times New Roman"/>
          <w:color w:val="000000"/>
        </w:rPr>
        <w:t>1915</w:t>
      </w:r>
      <w:r>
        <w:rPr>
          <w:rFonts w:ascii="楷体" w:hAnsi="楷体" w:eastAsia="楷体" w:cs="楷体"/>
          <w:color w:val="000000"/>
        </w:rPr>
        <w:t>年的《新青年》《科学》及</w:t>
      </w:r>
      <w:r>
        <w:rPr>
          <w:rFonts w:ascii="Times New Roman" w:hAnsi="Times New Roman" w:eastAsia="Times New Roman" w:cs="Times New Roman"/>
          <w:color w:val="000000"/>
        </w:rPr>
        <w:t>1917</w:t>
      </w:r>
      <w:r>
        <w:rPr>
          <w:rFonts w:ascii="楷体" w:hAnsi="楷体" w:eastAsia="楷体" w:cs="楷体"/>
          <w:color w:val="000000"/>
        </w:rPr>
        <w:t>年的《太平洋》，代表了当时思想界的动态。文化类期刊有《湘江评论》《浙江新潮》等新文化期刊，《国故》《学衡》等保守主义文化期刊，《侦探世界》等通俗文学期刊，《小说月报》《创造》等新文学期刊。《科学》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以传播世界最新科学知识为职志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，主张科学救国，同类期刊有《电界》《心理》等。《太平洋》主要刊发政论文章，主张政治革新。政府及政党亦办期刊，如中共刊物《共产党》《劳动界》，国民党刊物《建设》等。</w:t>
      </w:r>
    </w:p>
    <w:p w14:paraId="5D53175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摘编自《五四时期期刊介绍》等</w:t>
      </w:r>
    </w:p>
    <w:p w14:paraId="4181BE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根据材料并结合所学，概括五四时期期刊的整体特征。</w:t>
      </w:r>
    </w:p>
    <w:p w14:paraId="71356F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根据材料并结合所学，分析五四时期期刊蓬勃发展的背景。</w:t>
      </w:r>
    </w:p>
    <w:p w14:paraId="2AFAFC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大国对外政策的转变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1B04DB4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19</w:t>
      </w:r>
      <w:r>
        <w:rPr>
          <w:rFonts w:ascii="楷体" w:hAnsi="楷体" w:eastAsia="楷体" w:cs="楷体"/>
          <w:color w:val="000000"/>
        </w:rPr>
        <w:t>世纪末，法国共和党领袖茹尔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楷体" w:hAnsi="楷体" w:eastAsia="楷体" w:cs="楷体"/>
          <w:color w:val="000000"/>
        </w:rPr>
        <w:t>费里曾直言不讳地宣称：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对于富强的国家来说，殖民地是最有利可图的投资对象之一。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戴高乐同样是一位竭力维护法兰西殖民利益的帝国派军人，一向视遍及全球的殖民地为法兰西辉煌业绩的一部分。他在首次执政期间（</w:t>
      </w:r>
      <w:r>
        <w:rPr>
          <w:rFonts w:ascii="Times New Roman" w:hAnsi="Times New Roman" w:eastAsia="Times New Roman" w:cs="Times New Roman"/>
          <w:color w:val="000000"/>
        </w:rPr>
        <w:t>1944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楷体" w:hAnsi="楷体" w:eastAsia="楷体" w:cs="楷体"/>
          <w:color w:val="000000"/>
        </w:rPr>
        <w:t>月至</w:t>
      </w:r>
      <w:r>
        <w:rPr>
          <w:rFonts w:ascii="Times New Roman" w:hAnsi="Times New Roman" w:eastAsia="Times New Roman" w:cs="Times New Roman"/>
          <w:color w:val="000000"/>
        </w:rPr>
        <w:t>1946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月），奉行老殖民主义政策。</w:t>
      </w:r>
      <w:r>
        <w:rPr>
          <w:rFonts w:ascii="Times New Roman" w:hAnsi="Times New Roman" w:eastAsia="Times New Roman" w:cs="Times New Roman"/>
          <w:color w:val="000000"/>
        </w:rPr>
        <w:t>1946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楷体" w:hAnsi="楷体" w:eastAsia="楷体" w:cs="楷体"/>
          <w:color w:val="000000"/>
        </w:rPr>
        <w:t>日，戴高乐在向报界讲话时强调：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同海外领地联结在一起，法国是一个大国；失去这些领地，法国将不再成为大国。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7825CF3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摘编自陈永祥《戴高乐对第三世界国家外交政策的调整》</w:t>
      </w:r>
    </w:p>
    <w:p w14:paraId="410CECF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1958</w:t>
      </w:r>
      <w:r>
        <w:rPr>
          <w:rFonts w:ascii="楷体" w:hAnsi="楷体" w:eastAsia="楷体" w:cs="楷体"/>
          <w:color w:val="000000"/>
        </w:rPr>
        <w:t>年，戴高乐重新上台后，着手调整对外政策。政策之一是建立一个新的法兰西共同体，以代替之前的法兰西联邦，给各成员国以内政方面的自治权，允许它们随时退出共同体。</w:t>
      </w:r>
      <w:r>
        <w:rPr>
          <w:rFonts w:ascii="Times New Roman" w:hAnsi="Times New Roman" w:eastAsia="Times New Roman" w:cs="Times New Roman"/>
          <w:color w:val="000000"/>
        </w:rPr>
        <w:t>1964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楷体" w:hAnsi="楷体" w:eastAsia="楷体" w:cs="楷体"/>
          <w:color w:val="000000"/>
        </w:rPr>
        <w:t>月至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月，戴高乐出访拉美十国。此次行程二万多公里，发表演说五十多篇，主旨是抨击美国推行霸权主义，强调维护民族独立，并号召拉美国家“向法国看，向欧洲看”。他还呼吁美国“在适当的和确定的限期内从印度支那撤走，让其人民以自己的方式决定自己的命运”。</w:t>
      </w:r>
    </w:p>
    <w:p w14:paraId="6F38E1A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——摘编自罗会钧《戴高乐与法国殖民主义的终结》</w:t>
      </w:r>
    </w:p>
    <w:p w14:paraId="4592BD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根据材料一，指出二战结束后法国政府坚持殖民主义政策的原因。</w:t>
      </w:r>
    </w:p>
    <w:p w14:paraId="244D50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根据材料并结合所学，概括戴高乐</w:t>
      </w:r>
      <w:r>
        <w:rPr>
          <w:rFonts w:ascii="Times New Roman" w:hAnsi="Times New Roman" w:eastAsia="Times New Roman" w:cs="Times New Roman"/>
          <w:color w:val="000000"/>
        </w:rPr>
        <w:t>1958</w:t>
      </w:r>
      <w:r>
        <w:rPr>
          <w:rFonts w:ascii="宋体" w:hAnsi="宋体" w:eastAsia="宋体" w:cs="宋体"/>
          <w:color w:val="000000"/>
        </w:rPr>
        <w:t>年重新执政后法国政府对外政策的转变，并予以评述。</w:t>
      </w:r>
    </w:p>
    <w:p w14:paraId="662C585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物质与文明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36EB3A6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文明通过不断吸收、创造新物品而获得成长，即使最普通的一件物品，在特定的历史条件下，也可能成为改变世界的关键。有学者指出，物品与文明的关系有以下几种类型：</w:t>
      </w:r>
    </w:p>
    <w:tbl>
      <w:tblPr>
        <w:tblStyle w:val="4"/>
        <w:tblW w:w="6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"/>
        <w:gridCol w:w="2130"/>
        <w:gridCol w:w="3405"/>
      </w:tblGrid>
      <w:tr w14:paraId="6FA20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59AA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类型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7325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含义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BB862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事例</w:t>
            </w:r>
          </w:p>
        </w:tc>
      </w:tr>
      <w:tr w14:paraId="76B98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314AF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7ADAC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一件物品的普遍传播，影响众多人的生活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F43DB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美洲大陆的土豆、辣椒等作物传入欧亚大陆，引发生活方式改变</w:t>
            </w:r>
          </w:p>
        </w:tc>
      </w:tr>
      <w:tr w14:paraId="13108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AEF8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二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4929E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一批新物品应社会变革而生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25977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地铁等公共交通工具适应了工业化时代城市扩张的需要</w:t>
            </w:r>
          </w:p>
        </w:tc>
      </w:tr>
      <w:tr w14:paraId="5C3F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11E30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三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529BD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关键物品的出现催生出全新的物品体系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C75B0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内燃机、电子计算机等关键物品诞生，辐射出以其为中心的一个个新物品体系</w:t>
            </w:r>
          </w:p>
        </w:tc>
      </w:tr>
    </w:tbl>
    <w:p w14:paraId="6B244D1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在上述三种类型中任选其一，结合所学知识，自拟论题，展开论述。（要求：观点正确，史论结合，表述成文。）</w:t>
      </w:r>
    </w:p>
    <w:p w14:paraId="0E826149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47E4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2D08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7483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5E53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0CE7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C222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D2C521F"/>
    <w:rsid w:val="1FE12CEA"/>
    <w:rsid w:val="38274566"/>
    <w:rsid w:val="6B2A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4103</Words>
  <Characters>4408</Characters>
  <Lines>0</Lines>
  <Paragraphs>0</Paragraphs>
  <TotalTime>0</TotalTime>
  <ScaleCrop>false</ScaleCrop>
  <LinksUpToDate>false</LinksUpToDate>
  <CharactersWithSpaces>4610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2026-02-10T06:36:00Z</dcterms:created>
  <dc:creator>Administrator</dc:creator>
  <cp:lastModifiedBy>上帝掷骰子吗</cp:lastModifiedBy>
  <dcterms:modified xsi:type="dcterms:W3CDTF">2026-02-10T06:55:13Z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4A31869FE1F648E8910A90F75F3904AF_12</vt:lpwstr>
  </property>
</Properties>
</file>