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4C06F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11874500</wp:posOffset>
            </wp:positionH>
            <wp:positionV relativeFrom="topMargin">
              <wp:posOffset>11633200</wp:posOffset>
            </wp:positionV>
            <wp:extent cx="482600" cy="317500"/>
            <wp:effectExtent l="0" t="0" r="1270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B86BCA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绝密★启用前</w:t>
      </w:r>
    </w:p>
    <w:p w14:paraId="23452C87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年普通高等学校招生全国统一考试（全国甲卷）</w:t>
      </w:r>
    </w:p>
    <w:p w14:paraId="4F429149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55B7E225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5BBB618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．答卷前，考生务必将自己的姓名、准考证号填写在答题卡上。</w:t>
      </w:r>
    </w:p>
    <w:p w14:paraId="630B019D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．回答选择题时，选出每小题答案后，用铅笔把答题卡上对应题目的答案标号涂黑。如需改动，用橡皮擦干净后，再选涂其它答案标号。回答非选择题时，将答案写在答题卡上。写在本试卷上无效。</w:t>
      </w:r>
    </w:p>
    <w:p w14:paraId="69492633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77BDC38D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分。在每小题列出的四个选项中，只有一项是最符合题目要求的。</w:t>
      </w:r>
    </w:p>
    <w:p w14:paraId="2BB5E6F8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春秋时期，周王室衰微，诸侯争当“盟主”。齐国、晋国、楚国接续争雄，吴越争霸。诸侯成为“盟主”可以（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4AB9DEE2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取代周天子获得分封权力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成为诸侯国的“大宗”</w:t>
      </w:r>
    </w:p>
    <w:p w14:paraId="5B28B7F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免除向周王室纳税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义务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号令各诸侯国的行动</w:t>
      </w:r>
    </w:p>
    <w:p w14:paraId="4257B44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隋唐时期，常有商贩运着木材到城中指定区域进行售卖，也有人在城外种植桑树，然后砍伐送到城市作为柴薪进行售卖为生。由此可知，该时期（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E24FF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重农抑商政策废弛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城市能源问题突出</w:t>
      </w:r>
    </w:p>
    <w:p w14:paraId="4D4EFA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商品经济不断发展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市镇经济开始兴起</w:t>
      </w:r>
    </w:p>
    <w:p w14:paraId="514D9A0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明代中后期士大夫广泛参与日用类书籍编纂。弘治年间进士邝璠以《耕织图》为蓝本，编撰《便民图纂》一书，为苏南一带农村日常生活及农事活动提供指导。其内容庞杂，载有农艺、园艺、养畜等农业技术和饮食器用方面的知识。《便民图纂》的出现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CDF54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朝廷加强对社会的控制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士大夫阶层趋于世俗化</w:t>
      </w:r>
    </w:p>
    <w:p w14:paraId="35B0710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平民文化需求范围扩大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日常生产生活的标准化</w:t>
      </w:r>
    </w:p>
    <w:p w14:paraId="18056B4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清初《西游记》《三国演义》等小说出版盛行，广为传播，同时出现了满文版本进行刊印。而对于清政府认为会败坏社会风气，影响社会稳定的书籍则被列为禁书，进行销毁。这导致了（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1ECC5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世俗文化发展停滞化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社会政治和平失序化</w:t>
      </w:r>
    </w:p>
    <w:p w14:paraId="6F8F261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政府的思想专制僵化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传统伦理道德的延续</w:t>
      </w:r>
    </w:p>
    <w:p w14:paraId="1C0185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Times New Roman" w:hAnsi="Times New Roman" w:eastAsia="Times New Roman" w:cs="Times New Roman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年代之前，江苏镇江府土地多集中于地主手中。而到了六七十年代，镇江府“大地主不复存在”，十之八九的土地为耕者所有，</w:t>
      </w:r>
      <w:r>
        <w:rPr>
          <w:rFonts w:ascii="Times New Roman" w:hAnsi="Times New Roman" w:eastAsia="Times New Roman" w:cs="Times New Roman"/>
          <w:color w:val="000000"/>
        </w:rPr>
        <w:t>1888</w:t>
      </w:r>
      <w:r>
        <w:rPr>
          <w:rFonts w:ascii="宋体" w:hAnsi="宋体" w:eastAsia="宋体" w:cs="宋体"/>
          <w:color w:val="000000"/>
        </w:rPr>
        <w:t>年后基本集中在小农户手上。导致这一现象出现的原因是（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E290D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西方列强入侵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民族资本主义的发展</w:t>
      </w:r>
    </w:p>
    <w:p w14:paraId="10F3B2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太平天国运动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土地商品化程度提高</w:t>
      </w:r>
    </w:p>
    <w:p w14:paraId="26A1C28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初，清廷正式宣布考察政治的决定后，获得了国内外社会各界广泛认同，舆论普遍认为这是朝廷对立宪政治认识的大转变。“纷纷革命颈流血，无非蛮动力。一人坐定大风潮，立宪及今朝。”一时间内国内外革命的风声也都消失。由此可见清末宪政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769A0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一定程度上缓和了社会矛盾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使得知识分子意见趋向统一</w:t>
      </w:r>
    </w:p>
    <w:p w14:paraId="2C49B97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是清廷通过改革自救的手段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符合其时代背景和政治需求</w:t>
      </w:r>
    </w:p>
    <w:p w14:paraId="1B3DB3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下图表（表）为</w:t>
      </w:r>
      <w:r>
        <w:rPr>
          <w:rFonts w:ascii="Times New Roman" w:hAnsi="Times New Roman" w:eastAsia="Times New Roman" w:cs="Times New Roman"/>
          <w:color w:val="000000"/>
        </w:rPr>
        <w:t>1943</w:t>
      </w:r>
      <w:r>
        <w:rPr>
          <w:rFonts w:ascii="宋体" w:hAnsi="宋体" w:eastAsia="宋体" w:cs="宋体"/>
          <w:color w:val="000000"/>
        </w:rPr>
        <w:t>年陕甘宁边区佳县城关区各阶层公粮负担情况。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660"/>
        <w:gridCol w:w="666"/>
        <w:gridCol w:w="1500"/>
        <w:gridCol w:w="1290"/>
        <w:gridCol w:w="1441"/>
      </w:tblGrid>
      <w:tr w14:paraId="1CAA2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2F8E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阶层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227BA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户数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A6990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人口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DB2C2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总收入（石）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5F61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公粮（石）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98664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公粮占收入</w:t>
            </w:r>
            <w:r>
              <w:rPr>
                <w:rFonts w:ascii="Calibri" w:hAnsi="Calibri" w:eastAsia="Calibri" w:cs="Calibri"/>
                <w:color w:val="000000"/>
              </w:rPr>
              <w:t>%</w:t>
            </w:r>
          </w:p>
        </w:tc>
      </w:tr>
      <w:tr w14:paraId="62247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954E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地主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D47DB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69400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91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8001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462.0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7C3A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104.70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CB4A9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22.6%</w:t>
            </w:r>
          </w:p>
        </w:tc>
      </w:tr>
      <w:tr w14:paraId="27606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CF77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富农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6421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40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3B676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356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94015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679.5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F124E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92.09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DE3EA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13.5%</w:t>
            </w:r>
          </w:p>
        </w:tc>
      </w:tr>
      <w:tr w14:paraId="53470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0C41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6BCA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244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1DE9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1352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2C44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1481.8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35D7C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120.95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E469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8.1%</w:t>
            </w:r>
          </w:p>
        </w:tc>
      </w:tr>
      <w:tr w14:paraId="2B988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BDD1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贫农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AAD4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588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FEB4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2498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149D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1376.8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AC03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30.34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9261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2.1%</w:t>
            </w:r>
          </w:p>
        </w:tc>
      </w:tr>
      <w:tr w14:paraId="6DC6E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BD6CE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雇农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FFAA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64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10C4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235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12921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58.8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7BB4F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6425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—</w:t>
            </w:r>
          </w:p>
        </w:tc>
      </w:tr>
      <w:tr w14:paraId="6FFD0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6A8CF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其它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9135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37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8A8E6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4FC02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111.3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2E953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2.92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D446B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2.6%</w:t>
            </w:r>
          </w:p>
        </w:tc>
      </w:tr>
      <w:tr w14:paraId="59F98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2EA6D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21C57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989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3088C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4746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4F60E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4170.2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63F0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351.00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E6A5E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8.4%</w:t>
            </w:r>
          </w:p>
        </w:tc>
      </w:tr>
    </w:tbl>
    <w:p w14:paraId="2F78AE2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这一现象体现了（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3AD7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社会阶级间的差距的扩大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农民生产生活需求的满足</w:t>
      </w:r>
    </w:p>
    <w:p w14:paraId="20340F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中国共产党阶级基础扩大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抗日民族统一战线的巩固</w:t>
      </w:r>
    </w:p>
    <w:p w14:paraId="01EA54F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1982</w:t>
      </w:r>
      <w:r>
        <w:rPr>
          <w:rFonts w:ascii="宋体" w:hAnsi="宋体" w:eastAsia="宋体" w:cs="宋体"/>
          <w:color w:val="000000"/>
        </w:rPr>
        <w:t>年《中华人民共和国宪法》第四十七条中规定：公民有进行科学研究、文学艺术创作和其他文化活动的自由。国家对于从事教育、科学、技术、文学、艺术和其他文化事业的公民的有益于人民的创造性工作，给以鼓励和帮助。这一规定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A2DA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有助于“双百方针”的贯彻落实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开启了全国性的思想解放运动</w:t>
      </w:r>
    </w:p>
    <w:p w14:paraId="701E9A1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推动了基层的民主与法治建设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确立以人民为导向的创作方向</w:t>
      </w:r>
    </w:p>
    <w:p w14:paraId="7D1537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14</w:t>
      </w:r>
      <w:r>
        <w:rPr>
          <w:rFonts w:ascii="宋体" w:hAnsi="宋体" w:eastAsia="宋体" w:cs="宋体"/>
          <w:color w:val="000000"/>
        </w:rPr>
        <w:t>世纪之前，人们把时间寄托给上帝，时间是“走向永恒过渡”。而在文艺复兴时代，人文主义者除了在职业古用的时间之外，勤奋研究古典文艺，他们强调要掌控时间，把握当下。一位意大利的母亲在给她儿子的信中说道，“要好好利用时间，不要荒废了时间……”这表明文艺复兴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280AC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冲击了宗教势力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因信称义开始确立</w:t>
      </w:r>
    </w:p>
    <w:p w14:paraId="02523C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强化了世俗观念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天赋人权广泛传播</w:t>
      </w:r>
    </w:p>
    <w:p w14:paraId="097BF7E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世纪上半叶，英国纺织厂女工如果在劳作的时候停下来休息，并不会有人过多在意。而到了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世纪下半叶，纺织原料由工厂统一供应和调配，整个生产过程处于工厂主的监督管理之下，纺织厂各生产环节协同劳作，这使得女织工不能够轻易休息。这一现象表明工业革命（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EA309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解放了女工人身的自由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提高了工人生产自主性</w:t>
      </w:r>
    </w:p>
    <w:p w14:paraId="7DE1D6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推动了生产组织的变革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强化了工厂的管理能力</w:t>
      </w:r>
    </w:p>
    <w:p w14:paraId="34E329B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伏尔泰在一次集会上说“像牛顿这样一千年才出现一个的人，才真正是个伟大的人物……而那些该尊敬的，是以真理的力量主宰人们的精神的人，而不是用暴力把人们变成奴隶的人，是指认识宇宙的人，而不是歪曲宇宙的人。”据此可知，伏尔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1A54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崇尚理性精神力量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批判封建并且反对愚昧</w:t>
      </w:r>
    </w:p>
    <w:p w14:paraId="3885343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主张实行精英政治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倡导建立自然科学体系</w:t>
      </w:r>
    </w:p>
    <w:p w14:paraId="7E545DD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年代，好莱坞曾经拍摄过一系列正面表现苏联的电影，从苏联的视角对其进行了相对正面的刻画。而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年代年之后，苏联在美国电影里的形象也很快出现了急转弯，苏联对美国的威胁成了好莱坞电影的重要主题之一。美国这一态度转变反映出（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E0F1C6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两极格局的正式形成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国际形势影响价值观</w:t>
      </w:r>
    </w:p>
    <w:p w14:paraId="497E6F7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雅尔塔体系走向瓦解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冷战聚焦于文化领域</w:t>
      </w:r>
    </w:p>
    <w:p w14:paraId="78B935F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59342A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683FE75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  中国数学历史悠久，周代“六艺”中就有“数”的内容，历代天象观测、历法编定等均须依靠数学知识。汉代的《九章算术》通过具体问题的应用运算，在分数、开方、线性方程组、勾股等多方面领先世界。魏晋的刘徽、南朝的祖冲之及其子祖暄，都是世界级数学家。隋唐置算学，与太学并立，将前代的十部数学专著作为讲习内容。宋元时出现了以秦九韶、朱世杰等为代表的杰出数学家，明清时期，官方数学教育衰落，西学传入，中国传统数学受到冲击。</w:t>
      </w:r>
    </w:p>
    <w:p w14:paraId="103D916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——摘编自（英）李约瑟《中国科学技术史》等</w:t>
      </w:r>
    </w:p>
    <w:p w14:paraId="0384C3F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  洋务运动时期，奕䜣等人认为西方科学技术“无一不自天文算学中来”，清廷遂于京师同文馆增设天文算学馆。清末兴办新式学堂，在各级学堂开设数学课程。20世纪二三十年代，我国中小学数学教学水平已“与欧美日本并驾齐驱”，大学纷纷成立数学系。抗战时期的西南联合大学拥有一批年轻的著名数学教授，如华罗庚、陈省身等。1940年中国共产党在延安设立自然科学院，开设微积分、微分方程等数学课程，培养专门人才。新中国成立后，科学技术的作用愈益突出，中国科学院设立数理化学部，推动了科学事业的发展。</w:t>
      </w:r>
    </w:p>
    <w:p w14:paraId="6D698A93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——摘编自白寿彝总主编《中国通史》等</w:t>
      </w:r>
    </w:p>
    <w:p w14:paraId="464904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根据材料并结合所学知识，概括中国古代数学发展的特点。</w:t>
      </w:r>
    </w:p>
    <w:p w14:paraId="28EF33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根据材料二并结合所学知识，简析中国近代以来数学受到重视的历史背景。</w:t>
      </w:r>
    </w:p>
    <w:p w14:paraId="4BAC5F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根据材料并结合所学知识，阐述中国数学发展的历史启示。</w:t>
      </w:r>
    </w:p>
    <w:p w14:paraId="51B47233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阅读材料，完成下列要求。</w:t>
      </w:r>
    </w:p>
    <w:p w14:paraId="1EE886F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</w:p>
    <w:p w14:paraId="0562F48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67000" cy="2047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204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DEC5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根据材料，结合所学世界近现代史知识，概括出</w:t>
      </w:r>
      <w:r>
        <w:rPr>
          <w:rFonts w:ascii="Times New Roman" w:hAnsi="Times New Roman" w:eastAsia="Times New Roman" w:cs="Times New Roman"/>
          <w:color w:val="000000"/>
        </w:rPr>
        <w:t>1900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~2000</w:t>
      </w:r>
      <w:r>
        <w:rPr>
          <w:rFonts w:ascii="宋体" w:hAnsi="宋体" w:eastAsia="宋体" w:cs="宋体"/>
          <w:color w:val="000000"/>
        </w:rPr>
        <w:t>年世界变化趋势，并加以阐释。（要求：趋势正确，观点明晰，史实准确，史论结合，逻辑严密。）</w:t>
      </w:r>
    </w:p>
    <w:p w14:paraId="4F3FD2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[历史——选修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：历史上重大改革回眸]</w:t>
      </w:r>
    </w:p>
    <w:p w14:paraId="63A56D43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北魏献文帝、孝文帝皆年幼继位，冯太后长期主持朝政。她主张“准古典”，即遵从周汉魏晋传统制度文化，鉴于西晋末年以来北方历经动乱、学校不兴，她下令在各郡置博士、助教官，建立官办学校，又因“皇子皇孙，训教不立”，下令在都城平城(今山西大同)创立“皇宗学”，专门教育皇室子弟。孝文帝在皇宗学学习期间，“未尝不《书典》在怀，《礼经》为事”。鲜卑人喜欢歌舞，冯太后亲自参与编写浅显易懂的《劝戒歌》300余首，并谱成曲调演唱，以鲜卑人喜闻乐见的形式宣讲中原文化，这些措施为进一步改革做了准备。冯太后去世后，孝文帝将她的谥号定为“文明”。</w:t>
      </w:r>
    </w:p>
    <w:p w14:paraId="6B68E5AC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_GB2312" w:hAnsi="楷体_GB2312" w:eastAsia="楷体_GB2312" w:cs="楷体_GB2312"/>
          <w:color w:val="000000"/>
        </w:rPr>
        <w:t>——据《魏书》等</w:t>
      </w:r>
    </w:p>
    <w:p w14:paraId="004DBC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根据材料，概括冯太后教育改革的主要内容。</w:t>
      </w:r>
    </w:p>
    <w:p w14:paraId="6BE874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根据材料并结合所学知识，简析冯太后教育改革的意义。</w:t>
      </w:r>
    </w:p>
    <w:p w14:paraId="27F80A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[历史——选修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世纪的战争与和平]</w:t>
      </w:r>
    </w:p>
    <w:p w14:paraId="0CC8317E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1911年3月，摩洛哥非斯地区爆发了反对法国殖民统治的起义，法国派兵镇压。德国出面干涉，7月1日派军舰到摩洛哥阿加迪尔港，引发阿加迪尔危机。由于担心德国获得摩洛哥沿岸港口并建立海军基地，英国于21日发出警告，强调英国是处理国际事务不可或缺的角色。英国海军进入战备状态，总参谋长访问法国并视察德法边界。在英国强硬态度面前，德国同意与法国妥协，摩洛哥由法国“保护”，法国向德国转让法属刚果部分地区。11月底，德国军舰驶离阿加迪尔港，危机结束。德国对此十分失望，决心在下一次“考验”时不再退缩。同时，英法同盟的实质合作进一步加强。</w:t>
      </w:r>
    </w:p>
    <w:p w14:paraId="317AAEBD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——摘编自徐弃郁《脆弱的崛起：大战略与德意志帝国的命运》等</w:t>
      </w:r>
    </w:p>
    <w:p w14:paraId="422471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根据材料并结合所学知识，说明英国在阿加迪尔危机中的立场及其原因。</w:t>
      </w:r>
    </w:p>
    <w:p w14:paraId="6DD98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根据材料并结合所学知识，简析阿加迪尔危机对德国的影响。</w:t>
      </w:r>
    </w:p>
    <w:p w14:paraId="6A682BA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17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宋体" w:hAnsi="宋体" w:eastAsia="宋体" w:cs="宋体"/>
          <w:color w:val="000000"/>
        </w:rPr>
        <w:t>历史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选修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：中外历史人物评说</w:t>
      </w:r>
      <w:r>
        <w:rPr>
          <w:rFonts w:ascii="Times New Roman" w:hAnsi="Times New Roman" w:eastAsia="Times New Roman" w:cs="Times New Roman"/>
          <w:color w:val="000000"/>
        </w:rPr>
        <w:t>]</w:t>
      </w:r>
    </w:p>
    <w:p w14:paraId="16AC1315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  清帝退位后，黄兴认为政治目标已实现，“将来政治竞争，但能以政见相折冲，不愿以武力相角逐”，中华民国初年的国会选举期间，孙中山专心从事实业建设，对国民党党务“一切不问，纯然放任”；黄兴则积极为国民党争取选票，并认为“今者共和成立，欲苏民困，厚国力，舍实业末由”。1913年宋教仁遇刺后，黄兴主张“法律讨袁”，反对起兵，孙中山“格于众议，只好从缓发动”，后袁世凯欲武力镇压革命党，黄兴与孙中山领导发动“二次革命”，失败后逃亡日本。在日本，孙中山将国民党改组为中华革命党，继续发动式力革命，黄兴主张积蓄力量，循序渐进地反对袁世凯。</w:t>
      </w:r>
    </w:p>
    <w:p w14:paraId="02C1A8F9">
      <w:pPr>
        <w:spacing w:line="360" w:lineRule="auto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——摘编自李新总编《中华民国史人物传》等</w:t>
      </w:r>
    </w:p>
    <w:p w14:paraId="44835D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根据材料并结合所学知识，概括中华民国建立后黄兴和孙中山政治主张的相同之处。</w:t>
      </w:r>
    </w:p>
    <w:p w14:paraId="6ADBE2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根据材料并结合所学知识，简析中华民国建立后黄兴和孙中山的政治分歧及其后果。</w:t>
      </w:r>
    </w:p>
    <w:p w14:paraId="5B248075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45AF0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89D39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F1E4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544CF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22BC9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CC69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574F06"/>
    <w:rsid w:val="0FC348FD"/>
    <w:rsid w:val="19722953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3731</Words>
  <Characters>3950</Characters>
  <Lines>0</Lines>
  <Paragraphs>0</Paragraphs>
  <TotalTime>0</TotalTime>
  <ScaleCrop>false</ScaleCrop>
  <LinksUpToDate>false</LinksUpToDate>
  <CharactersWithSpaces>4097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2026-02-10T06:36:00Z</dcterms:created>
  <dc:creator>Administrator</dc:creator>
  <cp:lastModifiedBy>上帝掷骰子吗</cp:lastModifiedBy>
  <dcterms:modified xsi:type="dcterms:W3CDTF">2026-02-10T06:55:07Z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75430EDC2CE84CF295D22FB0CBDFA8D4_12</vt:lpwstr>
  </property>
</Properties>
</file>