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D381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11760200</wp:posOffset>
            </wp:positionV>
            <wp:extent cx="431800" cy="4953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431800" cy="495300"/>
                    </a:xfrm>
                    <a:prstGeom prst="rect">
                      <a:avLst/>
                    </a:prstGeom>
                  </pic:spPr>
                </pic:pic>
              </a:graphicData>
            </a:graphic>
          </wp:anchor>
        </w:drawing>
      </w:r>
      <w:r>
        <w:rPr>
          <w:rFonts w:ascii="宋体" w:hAnsi="宋体" w:eastAsia="宋体" w:cs="宋体"/>
          <w:b/>
          <w:color w:val="auto"/>
          <w:sz w:val="32"/>
        </w:rPr>
        <w:t>山东省2024年普通高中学业水平等级考试</w:t>
      </w:r>
    </w:p>
    <w:p w14:paraId="76191C92">
      <w:pPr>
        <w:spacing w:line="285" w:lineRule="auto"/>
        <w:jc w:val="center"/>
      </w:pPr>
      <w:r>
        <w:rPr>
          <w:rFonts w:ascii="宋体" w:hAnsi="宋体" w:eastAsia="宋体" w:cs="宋体"/>
          <w:b/>
          <w:color w:val="auto"/>
          <w:sz w:val="32"/>
        </w:rPr>
        <w:t>历史</w:t>
      </w:r>
    </w:p>
    <w:p w14:paraId="62C92B75">
      <w:pPr>
        <w:spacing w:line="285"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45</w:t>
      </w:r>
      <w:r>
        <w:rPr>
          <w:rFonts w:ascii="宋体" w:hAnsi="宋体" w:eastAsia="宋体" w:cs="宋体"/>
          <w:b/>
          <w:color w:val="auto"/>
          <w:sz w:val="24"/>
        </w:rPr>
        <w:t>分。每小题只有一个选项符合题目要求。</w:t>
      </w:r>
    </w:p>
    <w:p w14:paraId="6D12E12C">
      <w:pPr>
        <w:spacing w:line="360" w:lineRule="auto"/>
        <w:jc w:val="left"/>
      </w:pPr>
      <w:r>
        <w:rPr>
          <w:color w:val="auto"/>
        </w:rPr>
        <w:t xml:space="preserve">1. </w:t>
      </w:r>
      <w:r>
        <w:rPr>
          <w:rFonts w:ascii="宋体" w:hAnsi="宋体" w:eastAsia="宋体" w:cs="宋体"/>
          <w:color w:val="auto"/>
        </w:rPr>
        <w:t>商业是社会发展到一定阶段的产物。下列四处考古遗址所出土器物能表明商业已有较高程度发展的是（</w:t>
      </w:r>
      <w:r>
        <w:rPr>
          <w:rFonts w:ascii="Times New Roman" w:hAnsi="Times New Roman" w:eastAsia="Times New Roman" w:cs="Times New Roman"/>
          <w:color w:val="auto"/>
        </w:rPr>
        <w:t xml:space="preserve">    </w:t>
      </w:r>
      <w:r>
        <w:rPr>
          <w:rFonts w:ascii="宋体" w:hAnsi="宋体" w:eastAsia="宋体" w:cs="宋体"/>
          <w:color w:val="auto"/>
        </w:rPr>
        <w:t>）</w:t>
      </w:r>
    </w:p>
    <w:p w14:paraId="50017565">
      <w:pPr>
        <w:tabs>
          <w:tab w:val="left" w:pos="4873"/>
        </w:tabs>
        <w:spacing w:line="360" w:lineRule="auto"/>
        <w:jc w:val="left"/>
        <w:textAlignment w:val="center"/>
        <w:rPr>
          <w:color w:val="auto"/>
        </w:rPr>
      </w:pPr>
      <w:r>
        <w:t xml:space="preserve">A. </w:t>
      </w:r>
      <w:r>
        <w:rPr>
          <w:rFonts w:ascii="宋体" w:hAnsi="宋体" w:eastAsia="宋体" w:cs="宋体"/>
          <w:color w:val="auto"/>
        </w:rPr>
        <w:t>陶釜、蚌器、骨角器等</w:t>
      </w:r>
      <w:r>
        <w:tab/>
      </w:r>
      <w:r>
        <w:t xml:space="preserve">B. </w:t>
      </w:r>
      <w:r>
        <w:rPr>
          <w:rFonts w:ascii="宋体" w:hAnsi="宋体" w:eastAsia="宋体" w:cs="宋体"/>
          <w:color w:val="auto"/>
        </w:rPr>
        <w:t>指环、牙器、臂玉环等</w:t>
      </w:r>
    </w:p>
    <w:p w14:paraId="190A8BB0">
      <w:pPr>
        <w:tabs>
          <w:tab w:val="left" w:pos="4873"/>
        </w:tabs>
        <w:spacing w:line="360" w:lineRule="auto"/>
        <w:jc w:val="left"/>
        <w:textAlignment w:val="center"/>
        <w:rPr>
          <w:color w:val="000000"/>
        </w:rPr>
      </w:pPr>
      <w:r>
        <w:t xml:space="preserve">C. </w:t>
      </w:r>
      <w:r>
        <w:rPr>
          <w:rFonts w:ascii="宋体" w:hAnsi="宋体" w:eastAsia="宋体" w:cs="宋体"/>
          <w:color w:val="auto"/>
        </w:rPr>
        <w:t>石斧、石磨棒、石磨盘等</w:t>
      </w:r>
      <w:r>
        <w:tab/>
      </w:r>
      <w:r>
        <w:t xml:space="preserve">D. </w:t>
      </w:r>
      <w:r>
        <w:rPr>
          <w:rFonts w:ascii="宋体" w:hAnsi="宋体" w:eastAsia="宋体" w:cs="宋体"/>
          <w:color w:val="auto"/>
        </w:rPr>
        <w:t>骨贝、青铜贝、包金贝等</w:t>
      </w:r>
    </w:p>
    <w:p w14:paraId="0A090BC1">
      <w:pPr>
        <w:spacing w:line="360" w:lineRule="auto"/>
        <w:jc w:val="left"/>
        <w:textAlignment w:val="center"/>
        <w:rPr>
          <w:color w:val="000000"/>
        </w:rPr>
      </w:pPr>
      <w:r>
        <w:rPr>
          <w:color w:val="000000"/>
        </w:rPr>
        <w:t xml:space="preserve">2. </w:t>
      </w:r>
      <w:r>
        <w:rPr>
          <w:rFonts w:ascii="宋体" w:hAnsi="宋体" w:eastAsia="宋体" w:cs="宋体"/>
          <w:color w:val="000000"/>
        </w:rPr>
        <w:t>西周时期，诸侯国在奉行周礼的同时，多尊重当地原有的风俗；春秋战国时期，诸侯国变革礼制，移风易俗，成为一种普遍现象。诸侯国转变做法主要是为了（</w:t>
      </w:r>
      <w:r>
        <w:rPr>
          <w:rFonts w:ascii="Times New Roman" w:hAnsi="Times New Roman" w:eastAsia="Times New Roman" w:cs="Times New Roman"/>
          <w:color w:val="000000"/>
        </w:rPr>
        <w:t xml:space="preserve">    </w:t>
      </w:r>
      <w:r>
        <w:rPr>
          <w:rFonts w:ascii="宋体" w:hAnsi="宋体" w:eastAsia="宋体" w:cs="宋体"/>
          <w:color w:val="000000"/>
        </w:rPr>
        <w:t>）</w:t>
      </w:r>
    </w:p>
    <w:p w14:paraId="38AD5E43">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重构统治秩序</w:t>
      </w:r>
      <w:r>
        <w:rPr>
          <w:color w:val="000000"/>
        </w:rPr>
        <w:tab/>
      </w:r>
      <w:r>
        <w:rPr>
          <w:color w:val="000000"/>
        </w:rPr>
        <w:t xml:space="preserve">B. </w:t>
      </w:r>
      <w:r>
        <w:rPr>
          <w:rFonts w:ascii="宋体" w:hAnsi="宋体" w:eastAsia="宋体" w:cs="宋体"/>
          <w:color w:val="000000"/>
        </w:rPr>
        <w:t>限制贵族特权</w:t>
      </w:r>
    </w:p>
    <w:p w14:paraId="72DDA8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以德行教化民众</w:t>
      </w:r>
      <w:r>
        <w:rPr>
          <w:color w:val="000000"/>
        </w:rPr>
        <w:tab/>
      </w:r>
      <w:r>
        <w:rPr>
          <w:color w:val="000000"/>
        </w:rPr>
        <w:t xml:space="preserve">D. </w:t>
      </w:r>
      <w:r>
        <w:rPr>
          <w:rFonts w:ascii="宋体" w:hAnsi="宋体" w:eastAsia="宋体" w:cs="宋体"/>
          <w:color w:val="000000"/>
        </w:rPr>
        <w:t>打破宗法血缘关系</w:t>
      </w:r>
    </w:p>
    <w:p w14:paraId="0430B8EF">
      <w:pPr>
        <w:spacing w:line="360" w:lineRule="auto"/>
        <w:jc w:val="left"/>
        <w:textAlignment w:val="center"/>
        <w:rPr>
          <w:color w:val="000000"/>
        </w:rPr>
      </w:pPr>
      <w:r>
        <w:rPr>
          <w:color w:val="000000"/>
        </w:rPr>
        <w:t xml:space="preserve">3. </w:t>
      </w:r>
      <w:r>
        <w:rPr>
          <w:rFonts w:ascii="宋体" w:hAnsi="宋体" w:eastAsia="宋体" w:cs="宋体"/>
          <w:color w:val="000000"/>
        </w:rPr>
        <w:t>下表为《宋史·王猎传》中的相关记载。王猎的经历反映出宋代（</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tblGrid>
      <w:tr w14:paraId="36673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2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BDC63">
            <w:pPr>
              <w:spacing w:line="360" w:lineRule="auto"/>
              <w:jc w:val="left"/>
              <w:textAlignment w:val="center"/>
              <w:rPr>
                <w:color w:val="000000"/>
              </w:rPr>
            </w:pPr>
            <w:r>
              <w:rPr>
                <w:rFonts w:ascii="宋体" w:hAnsi="宋体" w:eastAsia="宋体" w:cs="宋体"/>
                <w:color w:val="000000"/>
              </w:rPr>
              <w:t>王猎，字得之，长垣人。累应进士不第，乃治生积钱，既而叹曰：“此败吾志也。”悉以班（分发）诸亲族。庆历用兵，诏求遗逸，范仲淹荐之，得出身为永兴蓝田主薄。……</w:t>
            </w:r>
          </w:p>
        </w:tc>
      </w:tr>
    </w:tbl>
    <w:p w14:paraId="724A40FC">
      <w:pPr>
        <w:spacing w:line="360" w:lineRule="auto"/>
        <w:jc w:val="left"/>
        <w:textAlignment w:val="center"/>
        <w:rPr>
          <w:color w:val="000000"/>
        </w:rPr>
      </w:pPr>
    </w:p>
    <w:p w14:paraId="310F09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士人价值取向发生变化</w:t>
      </w:r>
      <w:r>
        <w:rPr>
          <w:color w:val="000000"/>
        </w:rPr>
        <w:tab/>
      </w:r>
      <w:r>
        <w:rPr>
          <w:color w:val="000000"/>
        </w:rPr>
        <w:t xml:space="preserve">B. </w:t>
      </w:r>
      <w:r>
        <w:rPr>
          <w:rFonts w:ascii="宋体" w:hAnsi="宋体" w:eastAsia="宋体" w:cs="宋体"/>
          <w:color w:val="000000"/>
        </w:rPr>
        <w:t>传统观念制约阶层流动</w:t>
      </w:r>
    </w:p>
    <w:p w14:paraId="04F8B81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商人政治地位得到提高</w:t>
      </w:r>
      <w:r>
        <w:rPr>
          <w:color w:val="000000"/>
        </w:rPr>
        <w:tab/>
      </w:r>
      <w:r>
        <w:rPr>
          <w:color w:val="000000"/>
        </w:rPr>
        <w:t xml:space="preserve">D. </w:t>
      </w:r>
      <w:r>
        <w:rPr>
          <w:rFonts w:ascii="宋体" w:hAnsi="宋体" w:eastAsia="宋体" w:cs="宋体"/>
          <w:color w:val="000000"/>
        </w:rPr>
        <w:t>经济发展影响选官方式</w:t>
      </w:r>
    </w:p>
    <w:p w14:paraId="0D00B73C">
      <w:pPr>
        <w:spacing w:line="360" w:lineRule="auto"/>
        <w:jc w:val="left"/>
        <w:textAlignment w:val="center"/>
        <w:rPr>
          <w:color w:val="000000"/>
        </w:rPr>
      </w:pPr>
      <w:r>
        <w:rPr>
          <w:color w:val="000000"/>
        </w:rPr>
        <w:t xml:space="preserve">4. </w:t>
      </w:r>
      <w:r>
        <w:rPr>
          <w:rFonts w:ascii="宋体" w:hAnsi="宋体" w:eastAsia="宋体" w:cs="宋体"/>
          <w:color w:val="000000"/>
        </w:rPr>
        <w:t>宋元时期，畜牧兽医专著记述最多</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是马，并以医马、相马的书为多；明清时期，最主要的记述对象是牛，各种相牛、养牛、医牛的书占畜牧兽医专著总数的</w:t>
      </w:r>
      <w:r>
        <w:rPr>
          <w:rFonts w:ascii="Times New Roman" w:hAnsi="Times New Roman" w:eastAsia="Times New Roman" w:cs="Times New Roman"/>
          <w:color w:val="000000"/>
        </w:rPr>
        <w:t>50%</w:t>
      </w:r>
      <w:r>
        <w:rPr>
          <w:rFonts w:ascii="宋体" w:hAnsi="宋体" w:eastAsia="宋体" w:cs="宋体"/>
          <w:color w:val="000000"/>
        </w:rPr>
        <w:t>以上。这是因为明清时期（</w:t>
      </w:r>
      <w:r>
        <w:rPr>
          <w:rFonts w:ascii="Times New Roman" w:hAnsi="Times New Roman" w:eastAsia="Times New Roman" w:cs="Times New Roman"/>
          <w:color w:val="000000"/>
        </w:rPr>
        <w:t xml:space="preserve">    </w:t>
      </w:r>
      <w:r>
        <w:rPr>
          <w:rFonts w:ascii="宋体" w:hAnsi="宋体" w:eastAsia="宋体" w:cs="宋体"/>
          <w:color w:val="000000"/>
        </w:rPr>
        <w:t>）</w:t>
      </w:r>
    </w:p>
    <w:p w14:paraId="3ABEDE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政府强化了军事资源控制</w:t>
      </w:r>
      <w:r>
        <w:rPr>
          <w:color w:val="000000"/>
        </w:rPr>
        <w:tab/>
      </w:r>
      <w:r>
        <w:rPr>
          <w:color w:val="000000"/>
        </w:rPr>
        <w:t xml:space="preserve">B. </w:t>
      </w:r>
      <w:r>
        <w:rPr>
          <w:rFonts w:ascii="宋体" w:hAnsi="宋体" w:eastAsia="宋体" w:cs="宋体"/>
          <w:color w:val="000000"/>
        </w:rPr>
        <w:t>土地兼并进一步加剧</w:t>
      </w:r>
    </w:p>
    <w:p w14:paraId="20F182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政治相对稳定促进了经济发展</w:t>
      </w:r>
      <w:r>
        <w:rPr>
          <w:color w:val="000000"/>
        </w:rPr>
        <w:tab/>
      </w:r>
      <w:r>
        <w:rPr>
          <w:color w:val="000000"/>
        </w:rPr>
        <w:t xml:space="preserve">D. </w:t>
      </w:r>
      <w:r>
        <w:rPr>
          <w:rFonts w:ascii="宋体" w:hAnsi="宋体" w:eastAsia="宋体" w:cs="宋体"/>
          <w:color w:val="000000"/>
        </w:rPr>
        <w:t>游牧文明与农耕文明交融加强</w:t>
      </w:r>
    </w:p>
    <w:p w14:paraId="4E881CB9">
      <w:pPr>
        <w:spacing w:line="360" w:lineRule="auto"/>
        <w:jc w:val="left"/>
        <w:textAlignment w:val="center"/>
        <w:rPr>
          <w:color w:val="000000"/>
        </w:rPr>
      </w:pPr>
      <w:r>
        <w:rPr>
          <w:color w:val="000000"/>
        </w:rPr>
        <w:t xml:space="preserve">5. </w:t>
      </w:r>
      <w:r>
        <w:rPr>
          <w:rFonts w:ascii="宋体" w:hAnsi="宋体" w:eastAsia="宋体" w:cs="宋体"/>
          <w:color w:val="000000"/>
        </w:rPr>
        <w:t>下表为</w:t>
      </w:r>
      <w:r>
        <w:rPr>
          <w:rFonts w:ascii="Times New Roman" w:hAnsi="Times New Roman" w:eastAsia="Times New Roman" w:cs="Times New Roman"/>
          <w:color w:val="000000"/>
        </w:rPr>
        <w:t>1846</w:t>
      </w:r>
      <w:r>
        <w:rPr>
          <w:rFonts w:ascii="宋体" w:hAnsi="宋体" w:eastAsia="宋体" w:cs="宋体"/>
          <w:color w:val="000000"/>
        </w:rPr>
        <w:t>—</w:t>
      </w:r>
      <w:r>
        <w:rPr>
          <w:rFonts w:ascii="Times New Roman" w:hAnsi="Times New Roman" w:eastAsia="Times New Roman" w:cs="Times New Roman"/>
          <w:color w:val="000000"/>
        </w:rPr>
        <w:t>1905</w:t>
      </w:r>
      <w:r>
        <w:rPr>
          <w:rFonts w:ascii="宋体" w:hAnsi="宋体" w:eastAsia="宋体" w:cs="宋体"/>
          <w:color w:val="000000"/>
        </w:rPr>
        <w:t>年英国建筑师在上海、汉口、天津、北京等四地的分布情况统计。这体现了（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90"/>
        <w:gridCol w:w="660"/>
        <w:gridCol w:w="660"/>
        <w:gridCol w:w="660"/>
        <w:gridCol w:w="660"/>
      </w:tblGrid>
      <w:tr w14:paraId="66295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122B3">
            <w:pPr>
              <w:spacing w:line="360" w:lineRule="auto"/>
              <w:jc w:val="right"/>
              <w:textAlignment w:val="center"/>
              <w:rPr>
                <w:color w:val="000000"/>
              </w:rPr>
            </w:pPr>
            <w:r>
              <w:rPr>
                <w:rFonts w:ascii="宋体" w:hAnsi="宋体" w:eastAsia="宋体" w:cs="宋体"/>
                <w:color w:val="000000"/>
              </w:rPr>
              <w:t>城市</w:t>
            </w:r>
          </w:p>
          <w:p w14:paraId="135C65DC">
            <w:pPr>
              <w:spacing w:line="360" w:lineRule="auto"/>
              <w:jc w:val="center"/>
              <w:textAlignment w:val="center"/>
              <w:rPr>
                <w:color w:val="000000"/>
              </w:rPr>
            </w:pPr>
          </w:p>
          <w:p w14:paraId="321CF6A5">
            <w:pPr>
              <w:spacing w:line="360" w:lineRule="auto"/>
              <w:jc w:val="center"/>
              <w:textAlignment w:val="center"/>
              <w:rPr>
                <w:color w:val="000000"/>
              </w:rPr>
            </w:pPr>
            <w:r>
              <w:rPr>
                <w:rFonts w:ascii="宋体" w:hAnsi="宋体" w:eastAsia="宋体" w:cs="宋体"/>
                <w:color w:val="000000"/>
              </w:rPr>
              <w:t>人次</w:t>
            </w:r>
          </w:p>
          <w:p w14:paraId="1613CD08">
            <w:pPr>
              <w:spacing w:line="360" w:lineRule="auto"/>
              <w:jc w:val="left"/>
              <w:textAlignment w:val="center"/>
              <w:rPr>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AF4D1">
            <w:pPr>
              <w:spacing w:line="360" w:lineRule="auto"/>
              <w:jc w:val="left"/>
              <w:textAlignment w:val="center"/>
              <w:rPr>
                <w:color w:val="000000"/>
              </w:rPr>
            </w:pPr>
            <w:r>
              <w:rPr>
                <w:rFonts w:ascii="宋体" w:hAnsi="宋体" w:eastAsia="宋体" w:cs="宋体"/>
                <w:color w:val="000000"/>
              </w:rPr>
              <w:t>上海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8F6ED">
            <w:pPr>
              <w:spacing w:line="360" w:lineRule="auto"/>
              <w:jc w:val="left"/>
              <w:textAlignment w:val="center"/>
              <w:rPr>
                <w:color w:val="000000"/>
              </w:rPr>
            </w:pPr>
            <w:r>
              <w:rPr>
                <w:rFonts w:ascii="宋体" w:hAnsi="宋体" w:eastAsia="宋体" w:cs="宋体"/>
                <w:color w:val="000000"/>
              </w:rPr>
              <w:t>汉口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D9E089">
            <w:pPr>
              <w:spacing w:line="360" w:lineRule="auto"/>
              <w:jc w:val="left"/>
              <w:textAlignment w:val="center"/>
              <w:rPr>
                <w:color w:val="000000"/>
              </w:rPr>
            </w:pPr>
            <w:r>
              <w:rPr>
                <w:rFonts w:ascii="宋体" w:hAnsi="宋体" w:eastAsia="宋体" w:cs="宋体"/>
                <w:color w:val="000000"/>
              </w:rPr>
              <w:t>天津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F9B88">
            <w:pPr>
              <w:spacing w:line="360" w:lineRule="auto"/>
              <w:jc w:val="left"/>
              <w:textAlignment w:val="center"/>
              <w:rPr>
                <w:color w:val="000000"/>
              </w:rPr>
            </w:pPr>
            <w:r>
              <w:rPr>
                <w:rFonts w:ascii="宋体" w:hAnsi="宋体" w:eastAsia="宋体" w:cs="宋体"/>
                <w:color w:val="000000"/>
              </w:rPr>
              <w:t>北京</w:t>
            </w:r>
          </w:p>
        </w:tc>
      </w:tr>
      <w:tr w14:paraId="44C6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C0726">
            <w:pPr>
              <w:spacing w:line="360" w:lineRule="auto"/>
              <w:jc w:val="left"/>
              <w:textAlignment w:val="center"/>
              <w:rPr>
                <w:color w:val="000000"/>
              </w:rPr>
            </w:pPr>
            <w:r>
              <w:rPr>
                <w:rFonts w:ascii="Times New Roman" w:hAnsi="Times New Roman" w:eastAsia="Times New Roman" w:cs="Times New Roman"/>
                <w:color w:val="000000"/>
              </w:rPr>
              <w:t>1846—1860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5AC77">
            <w:pPr>
              <w:spacing w:line="360" w:lineRule="auto"/>
              <w:jc w:val="left"/>
              <w:textAlignment w:val="center"/>
              <w:rPr>
                <w:color w:val="000000"/>
              </w:rPr>
            </w:pPr>
            <w:r>
              <w:rPr>
                <w:rFonts w:ascii="Times New Roman" w:hAnsi="Times New Roman" w:eastAsia="Times New Roman" w:cs="Times New Roman"/>
                <w:color w:val="000000"/>
              </w:rPr>
              <w:t>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397797">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3B4DA2">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74D1D">
            <w:pPr>
              <w:spacing w:line="360" w:lineRule="auto"/>
              <w:jc w:val="left"/>
              <w:textAlignment w:val="center"/>
              <w:rPr>
                <w:color w:val="000000"/>
              </w:rPr>
            </w:pPr>
            <w:r>
              <w:rPr>
                <w:rFonts w:ascii="Times New Roman" w:hAnsi="Times New Roman" w:eastAsia="Times New Roman" w:cs="Times New Roman"/>
                <w:color w:val="000000"/>
              </w:rPr>
              <w:t>0</w:t>
            </w:r>
          </w:p>
        </w:tc>
      </w:tr>
      <w:tr w14:paraId="1B3E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2CFBD4">
            <w:pPr>
              <w:spacing w:line="360" w:lineRule="auto"/>
              <w:jc w:val="left"/>
              <w:textAlignment w:val="center"/>
              <w:rPr>
                <w:color w:val="000000"/>
              </w:rPr>
            </w:pPr>
            <w:r>
              <w:rPr>
                <w:rFonts w:ascii="Times New Roman" w:hAnsi="Times New Roman" w:eastAsia="Times New Roman" w:cs="Times New Roman"/>
                <w:color w:val="000000"/>
              </w:rPr>
              <w:t>1861—1875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64350">
            <w:pPr>
              <w:spacing w:line="360" w:lineRule="auto"/>
              <w:jc w:val="left"/>
              <w:textAlignment w:val="center"/>
              <w:rPr>
                <w:color w:val="000000"/>
              </w:rPr>
            </w:pPr>
            <w:r>
              <w:rPr>
                <w:rFonts w:ascii="Times New Roman" w:hAnsi="Times New Roman" w:eastAsia="Times New Roman" w:cs="Times New Roman"/>
                <w:color w:val="000000"/>
              </w:rPr>
              <w:t>120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C7938D">
            <w:pPr>
              <w:spacing w:line="360" w:lineRule="auto"/>
              <w:jc w:val="left"/>
              <w:textAlignment w:val="center"/>
              <w:rPr>
                <w:color w:val="000000"/>
              </w:rPr>
            </w:pPr>
            <w:r>
              <w:rPr>
                <w:rFonts w:ascii="Times New Roman" w:hAnsi="Times New Roman" w:eastAsia="Times New Roman" w:cs="Times New Roman"/>
                <w:color w:val="000000"/>
              </w:rPr>
              <w:t>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90033C">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39800">
            <w:pPr>
              <w:spacing w:line="360" w:lineRule="auto"/>
              <w:jc w:val="left"/>
              <w:textAlignment w:val="center"/>
              <w:rPr>
                <w:color w:val="000000"/>
              </w:rPr>
            </w:pPr>
            <w:r>
              <w:rPr>
                <w:rFonts w:ascii="Times New Roman" w:hAnsi="Times New Roman" w:eastAsia="Times New Roman" w:cs="Times New Roman"/>
                <w:color w:val="000000"/>
              </w:rPr>
              <w:t>0</w:t>
            </w:r>
          </w:p>
        </w:tc>
      </w:tr>
      <w:tr w14:paraId="1632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A133A0">
            <w:pPr>
              <w:spacing w:line="360" w:lineRule="auto"/>
              <w:jc w:val="left"/>
              <w:textAlignment w:val="center"/>
              <w:rPr>
                <w:color w:val="000000"/>
              </w:rPr>
            </w:pPr>
            <w:r>
              <w:rPr>
                <w:rFonts w:ascii="Times New Roman" w:hAnsi="Times New Roman" w:eastAsia="Times New Roman" w:cs="Times New Roman"/>
                <w:color w:val="000000"/>
              </w:rPr>
              <w:t>1876—1890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20C65">
            <w:pPr>
              <w:spacing w:line="360" w:lineRule="auto"/>
              <w:jc w:val="left"/>
              <w:textAlignment w:val="center"/>
              <w:rPr>
                <w:color w:val="000000"/>
              </w:rPr>
            </w:pPr>
            <w:r>
              <w:rPr>
                <w:rFonts w:ascii="Times New Roman" w:hAnsi="Times New Roman" w:eastAsia="Times New Roman" w:cs="Times New Roman"/>
                <w:color w:val="000000"/>
              </w:rPr>
              <w:t>193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D667F">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21E10">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47D861">
            <w:pPr>
              <w:spacing w:line="360" w:lineRule="auto"/>
              <w:jc w:val="left"/>
              <w:textAlignment w:val="center"/>
              <w:rPr>
                <w:color w:val="000000"/>
              </w:rPr>
            </w:pPr>
            <w:r>
              <w:rPr>
                <w:rFonts w:ascii="Times New Roman" w:hAnsi="Times New Roman" w:eastAsia="Times New Roman" w:cs="Times New Roman"/>
                <w:color w:val="000000"/>
              </w:rPr>
              <w:t>0</w:t>
            </w:r>
          </w:p>
        </w:tc>
      </w:tr>
      <w:tr w14:paraId="05F38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4C42AD">
            <w:pPr>
              <w:spacing w:line="360" w:lineRule="auto"/>
              <w:jc w:val="left"/>
              <w:textAlignment w:val="center"/>
              <w:rPr>
                <w:color w:val="000000"/>
              </w:rPr>
            </w:pPr>
            <w:r>
              <w:rPr>
                <w:rFonts w:ascii="Times New Roman" w:hAnsi="Times New Roman" w:eastAsia="Times New Roman" w:cs="Times New Roman"/>
                <w:color w:val="000000"/>
              </w:rPr>
              <w:t>1891—1905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4898F">
            <w:pPr>
              <w:spacing w:line="360" w:lineRule="auto"/>
              <w:jc w:val="left"/>
              <w:textAlignment w:val="center"/>
              <w:rPr>
                <w:color w:val="000000"/>
              </w:rPr>
            </w:pPr>
            <w:r>
              <w:rPr>
                <w:rFonts w:ascii="Times New Roman" w:hAnsi="Times New Roman" w:eastAsia="Times New Roman" w:cs="Times New Roman"/>
                <w:color w:val="000000"/>
              </w:rPr>
              <w:t>353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74D55">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792E8D">
            <w:pPr>
              <w:spacing w:line="360" w:lineRule="auto"/>
              <w:jc w:val="left"/>
              <w:textAlignment w:val="center"/>
              <w:rPr>
                <w:color w:val="000000"/>
              </w:rPr>
            </w:pPr>
            <w:r>
              <w:rPr>
                <w:rFonts w:ascii="Times New Roman" w:hAnsi="Times New Roman" w:eastAsia="Times New Roman" w:cs="Times New Roman"/>
                <w:color w:val="000000"/>
              </w:rPr>
              <w:t>67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845EE">
            <w:pPr>
              <w:spacing w:line="360" w:lineRule="auto"/>
              <w:jc w:val="left"/>
              <w:textAlignment w:val="center"/>
              <w:rPr>
                <w:color w:val="000000"/>
              </w:rPr>
            </w:pPr>
            <w:r>
              <w:rPr>
                <w:rFonts w:ascii="Times New Roman" w:hAnsi="Times New Roman" w:eastAsia="Times New Roman" w:cs="Times New Roman"/>
                <w:color w:val="000000"/>
              </w:rPr>
              <w:t>14</w:t>
            </w:r>
          </w:p>
        </w:tc>
      </w:tr>
    </w:tbl>
    <w:p w14:paraId="4CD59597">
      <w:pPr>
        <w:spacing w:line="360" w:lineRule="auto"/>
        <w:jc w:val="left"/>
        <w:textAlignment w:val="center"/>
        <w:rPr>
          <w:color w:val="000000"/>
        </w:rPr>
      </w:pPr>
    </w:p>
    <w:p w14:paraId="00CD9B5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晚清外交的不断退让</w:t>
      </w:r>
      <w:r>
        <w:rPr>
          <w:color w:val="000000"/>
        </w:rPr>
        <w:tab/>
      </w:r>
      <w:r>
        <w:rPr>
          <w:color w:val="000000"/>
        </w:rPr>
        <w:t xml:space="preserve">B. </w:t>
      </w:r>
      <w:r>
        <w:rPr>
          <w:rFonts w:ascii="宋体" w:hAnsi="宋体" w:eastAsia="宋体" w:cs="宋体"/>
          <w:color w:val="000000"/>
        </w:rPr>
        <w:t>英国势力范围的扩展</w:t>
      </w:r>
    </w:p>
    <w:p w14:paraId="0FC7A01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列强侵略方式的转变</w:t>
      </w:r>
      <w:r>
        <w:rPr>
          <w:color w:val="000000"/>
        </w:rPr>
        <w:tab/>
      </w:r>
      <w:r>
        <w:rPr>
          <w:color w:val="000000"/>
        </w:rPr>
        <w:t xml:space="preserve">D. </w:t>
      </w:r>
      <w:r>
        <w:rPr>
          <w:rFonts w:ascii="宋体" w:hAnsi="宋体" w:eastAsia="宋体" w:cs="宋体"/>
          <w:color w:val="000000"/>
        </w:rPr>
        <w:t>中西文化交流的深入</w:t>
      </w:r>
    </w:p>
    <w:p w14:paraId="4F5CF65F">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1926</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月，吴玉章在广州国民党二大期间的一次答词中说：民国元年的革命虽然成功，但所主张的不过是十八世纪法国式的革命，“拿百年前的旧方法，应付现在的新环境，当然是走不通的”。他强调的是（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A8424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工农群众的革命主力军作用</w:t>
      </w:r>
      <w:r>
        <w:rPr>
          <w:color w:val="000000"/>
        </w:rPr>
        <w:tab/>
      </w:r>
      <w:r>
        <w:rPr>
          <w:color w:val="000000"/>
        </w:rPr>
        <w:t xml:space="preserve">B. </w:t>
      </w:r>
      <w:r>
        <w:rPr>
          <w:rFonts w:ascii="宋体" w:hAnsi="宋体" w:eastAsia="宋体" w:cs="宋体"/>
          <w:color w:val="000000"/>
        </w:rPr>
        <w:t>创新革命理论的紧迫性</w:t>
      </w:r>
    </w:p>
    <w:p w14:paraId="11D326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需要吸取法国大革命的教训</w:t>
      </w:r>
      <w:r>
        <w:rPr>
          <w:color w:val="000000"/>
        </w:rPr>
        <w:tab/>
      </w:r>
      <w:r>
        <w:rPr>
          <w:color w:val="000000"/>
        </w:rPr>
        <w:t xml:space="preserve">D. </w:t>
      </w:r>
      <w:r>
        <w:rPr>
          <w:rFonts w:ascii="宋体" w:hAnsi="宋体" w:eastAsia="宋体" w:cs="宋体"/>
          <w:color w:val="000000"/>
        </w:rPr>
        <w:t>推进国民革命的必要性</w:t>
      </w:r>
    </w:p>
    <w:p w14:paraId="2855A32A">
      <w:pPr>
        <w:spacing w:line="360" w:lineRule="auto"/>
        <w:jc w:val="left"/>
        <w:textAlignment w:val="center"/>
        <w:rPr>
          <w:color w:val="000000"/>
        </w:rPr>
      </w:pPr>
      <w:r>
        <w:rPr>
          <w:color w:val="000000"/>
        </w:rPr>
        <w:t xml:space="preserve">7. </w:t>
      </w:r>
      <w:r>
        <w:rPr>
          <w:rFonts w:ascii="宋体" w:hAnsi="宋体" w:eastAsia="宋体" w:cs="宋体"/>
          <w:color w:val="000000"/>
        </w:rPr>
        <w:t>在新民主主义革命实践中，中国共产党领导创办了</w:t>
      </w:r>
      <w:r>
        <w:rPr>
          <w:rFonts w:ascii="Times New Roman" w:hAnsi="Times New Roman" w:eastAsia="Times New Roman" w:cs="Times New Roman"/>
          <w:color w:val="000000"/>
        </w:rPr>
        <w:t>4500</w:t>
      </w:r>
      <w:r>
        <w:rPr>
          <w:rFonts w:ascii="宋体" w:hAnsi="宋体" w:eastAsia="宋体" w:cs="宋体"/>
          <w:color w:val="000000"/>
        </w:rPr>
        <w:t>余种报刊。这些报刊的命名在不同历史时期呈现出不同特征，使用了不同的关键词。在“红旗”“红色”“工人”“青年”等成为报刊命名高频用词的历史时期。中国共产党（</w:t>
      </w:r>
      <w:r>
        <w:rPr>
          <w:rFonts w:ascii="Times New Roman" w:hAnsi="Times New Roman" w:eastAsia="Times New Roman" w:cs="Times New Roman"/>
          <w:color w:val="000000"/>
        </w:rPr>
        <w:t xml:space="preserve">    </w:t>
      </w:r>
      <w:r>
        <w:rPr>
          <w:rFonts w:ascii="宋体" w:hAnsi="宋体" w:eastAsia="宋体" w:cs="宋体"/>
          <w:color w:val="000000"/>
        </w:rPr>
        <w:t>）</w:t>
      </w:r>
    </w:p>
    <w:p w14:paraId="6D54CA5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确定了民主革命纲领</w:t>
      </w:r>
      <w:r>
        <w:rPr>
          <w:color w:val="000000"/>
        </w:rPr>
        <w:tab/>
      </w:r>
      <w:r>
        <w:rPr>
          <w:color w:val="000000"/>
        </w:rPr>
        <w:t xml:space="preserve">B. </w:t>
      </w:r>
      <w:r>
        <w:rPr>
          <w:rFonts w:ascii="宋体" w:hAnsi="宋体" w:eastAsia="宋体" w:cs="宋体"/>
          <w:color w:val="000000"/>
        </w:rPr>
        <w:t>形成了工农武装割据思想</w:t>
      </w:r>
    </w:p>
    <w:p w14:paraId="64B403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制定了全面抗战路线</w:t>
      </w:r>
      <w:r>
        <w:rPr>
          <w:color w:val="000000"/>
        </w:rPr>
        <w:tab/>
      </w:r>
      <w:r>
        <w:rPr>
          <w:color w:val="000000"/>
        </w:rPr>
        <w:t xml:space="preserve">D. </w:t>
      </w:r>
      <w:r>
        <w:rPr>
          <w:rFonts w:ascii="宋体" w:hAnsi="宋体" w:eastAsia="宋体" w:cs="宋体"/>
          <w:color w:val="000000"/>
        </w:rPr>
        <w:t>提出工作重心向城市转移</w:t>
      </w:r>
    </w:p>
    <w:p w14:paraId="2745735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1979</w:t>
      </w:r>
      <w:r>
        <w:rPr>
          <w:rFonts w:ascii="宋体" w:hAnsi="宋体" w:eastAsia="宋体" w:cs="宋体"/>
          <w:color w:val="000000"/>
        </w:rPr>
        <w:t>年，中国科学院将办院方针概括为“侧重基础、侧重提高，为国民经济和国防建设服务”；</w:t>
      </w:r>
      <w:r>
        <w:rPr>
          <w:rFonts w:ascii="Times New Roman" w:hAnsi="Times New Roman" w:eastAsia="Times New Roman" w:cs="Times New Roman"/>
          <w:color w:val="000000"/>
        </w:rPr>
        <w:t>1984</w:t>
      </w:r>
      <w:r>
        <w:rPr>
          <w:rFonts w:ascii="宋体" w:hAnsi="宋体" w:eastAsia="宋体" w:cs="宋体"/>
          <w:color w:val="000000"/>
        </w:rPr>
        <w:t>年，提出的新办院方针是“大力加强应用研究，积极而有选择地参加发展工作，继续重视基础研究”。办院方针的调整旨在（</w:t>
      </w:r>
      <w:r>
        <w:rPr>
          <w:rFonts w:ascii="Times New Roman" w:hAnsi="Times New Roman" w:eastAsia="Times New Roman" w:cs="Times New Roman"/>
          <w:color w:val="000000"/>
        </w:rPr>
        <w:t xml:space="preserve">    </w:t>
      </w:r>
      <w:r>
        <w:rPr>
          <w:rFonts w:ascii="宋体" w:hAnsi="宋体" w:eastAsia="宋体" w:cs="宋体"/>
          <w:color w:val="000000"/>
        </w:rPr>
        <w:t>）</w:t>
      </w:r>
    </w:p>
    <w:p w14:paraId="672D07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服务国家经济建设大局</w:t>
      </w:r>
      <w:r>
        <w:rPr>
          <w:color w:val="000000"/>
        </w:rPr>
        <w:tab/>
      </w:r>
      <w:r>
        <w:rPr>
          <w:color w:val="000000"/>
        </w:rPr>
        <w:t xml:space="preserve">B. </w:t>
      </w:r>
      <w:r>
        <w:rPr>
          <w:rFonts w:ascii="宋体" w:hAnsi="宋体" w:eastAsia="宋体" w:cs="宋体"/>
          <w:color w:val="000000"/>
        </w:rPr>
        <w:t>提升自主创新能力</w:t>
      </w:r>
    </w:p>
    <w:p w14:paraId="1CB0DE3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促进科学技术人才流动</w:t>
      </w:r>
      <w:r>
        <w:rPr>
          <w:color w:val="000000"/>
        </w:rPr>
        <w:tab/>
      </w:r>
      <w:r>
        <w:rPr>
          <w:color w:val="000000"/>
        </w:rPr>
        <w:t xml:space="preserve">D. </w:t>
      </w:r>
      <w:r>
        <w:rPr>
          <w:rFonts w:ascii="宋体" w:hAnsi="宋体" w:eastAsia="宋体" w:cs="宋体"/>
          <w:color w:val="000000"/>
        </w:rPr>
        <w:t>贯彻“科教兴国”战略</w:t>
      </w:r>
    </w:p>
    <w:p w14:paraId="4C8A4FD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邓小平多次表示，世界总人口约四分之一分布在苏联、西欧、北美、日本等地。“很难说这十一二亿人口的继续发展能够建筑在三十多亿人口的继续贫困的基础上”。中国的外交主张中与这种认识相契合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BE9DA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结伴而不结盟</w:t>
      </w:r>
      <w:r>
        <w:rPr>
          <w:color w:val="000000"/>
        </w:rPr>
        <w:tab/>
      </w:r>
      <w:r>
        <w:rPr>
          <w:color w:val="000000"/>
        </w:rPr>
        <w:t xml:space="preserve">B. </w:t>
      </w:r>
      <w:r>
        <w:rPr>
          <w:rFonts w:ascii="宋体" w:hAnsi="宋体" w:eastAsia="宋体" w:cs="宋体"/>
          <w:color w:val="000000"/>
        </w:rPr>
        <w:t>改善南北关系</w:t>
      </w:r>
    </w:p>
    <w:p w14:paraId="237B440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推进大国协调合作</w:t>
      </w:r>
      <w:r>
        <w:rPr>
          <w:color w:val="000000"/>
        </w:rPr>
        <w:tab/>
      </w:r>
      <w:r>
        <w:rPr>
          <w:color w:val="000000"/>
        </w:rPr>
        <w:t xml:space="preserve">D. </w:t>
      </w:r>
      <w:r>
        <w:rPr>
          <w:rFonts w:ascii="宋体" w:hAnsi="宋体" w:eastAsia="宋体" w:cs="宋体"/>
          <w:color w:val="000000"/>
        </w:rPr>
        <w:t>与周边国家共同发展</w:t>
      </w:r>
    </w:p>
    <w:p w14:paraId="055F16E7">
      <w:pPr>
        <w:spacing w:line="360" w:lineRule="auto"/>
        <w:jc w:val="left"/>
        <w:textAlignment w:val="center"/>
        <w:rPr>
          <w:color w:val="000000"/>
        </w:rPr>
      </w:pPr>
      <w:r>
        <w:rPr>
          <w:color w:val="000000"/>
        </w:rPr>
        <w:t xml:space="preserve">10. </w:t>
      </w:r>
      <w:r>
        <w:rPr>
          <w:rFonts w:ascii="宋体" w:hAnsi="宋体" w:eastAsia="宋体" w:cs="宋体"/>
          <w:color w:val="000000"/>
        </w:rPr>
        <w:t>左图为古埃及国王献给太阳神庙的大白陶罐；右图为</w:t>
      </w:r>
      <w:r>
        <w:rPr>
          <w:rFonts w:ascii="Times New Roman" w:hAnsi="Times New Roman" w:eastAsia="Times New Roman" w:cs="Times New Roman"/>
          <w:color w:val="000000"/>
        </w:rPr>
        <w:t>19</w:t>
      </w:r>
      <w:r>
        <w:rPr>
          <w:rFonts w:ascii="宋体" w:hAnsi="宋体" w:eastAsia="宋体" w:cs="宋体"/>
          <w:color w:val="000000"/>
        </w:rPr>
        <w:t>世纪北美印第安人达科他族首领水牛皮袍上的一份年表的片段。据此可知（</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3690"/>
      </w:tblGrid>
      <w:tr w14:paraId="6292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B97E0F">
            <w:pPr>
              <w:spacing w:line="360" w:lineRule="auto"/>
              <w:jc w:val="left"/>
              <w:textAlignment w:val="center"/>
              <w:rPr>
                <w:color w:val="000000"/>
              </w:rPr>
            </w:pPr>
            <w:r>
              <w:rPr>
                <w:color w:val="000000"/>
              </w:rPr>
              <w:drawing>
                <wp:inline distT="0" distB="0" distL="114300" distR="114300">
                  <wp:extent cx="1095375" cy="1485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95375" cy="1485900"/>
                          </a:xfrm>
                          <a:prstGeom prst="rect">
                            <a:avLst/>
                          </a:prstGeom>
                        </pic:spPr>
                      </pic:pic>
                    </a:graphicData>
                  </a:graphic>
                </wp:inline>
              </w:drawing>
            </w:r>
          </w:p>
          <w:p w14:paraId="3ADE42CD">
            <w:pPr>
              <w:spacing w:line="360" w:lineRule="auto"/>
              <w:jc w:val="left"/>
              <w:textAlignment w:val="center"/>
              <w:rPr>
                <w:color w:val="000000"/>
              </w:rPr>
            </w:pPr>
            <w:r>
              <w:rPr>
                <w:rFonts w:ascii="宋体" w:hAnsi="宋体" w:eastAsia="宋体" w:cs="宋体"/>
                <w:color w:val="000000"/>
              </w:rPr>
              <w:t>陶罐上的短语“对抗并彻底击败北方之年”为国王奉献陶罐那一年的名称。</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EBAAC">
            <w:pPr>
              <w:spacing w:line="360" w:lineRule="auto"/>
              <w:jc w:val="left"/>
              <w:textAlignment w:val="center"/>
              <w:rPr>
                <w:color w:val="000000"/>
              </w:rPr>
            </w:pPr>
            <w:r>
              <w:rPr>
                <w:color w:val="000000"/>
              </w:rPr>
              <w:drawing>
                <wp:inline distT="0" distB="0" distL="114300" distR="114300">
                  <wp:extent cx="1438275" cy="10477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38275" cy="1047750"/>
                          </a:xfrm>
                          <a:prstGeom prst="rect">
                            <a:avLst/>
                          </a:prstGeom>
                        </pic:spPr>
                      </pic:pic>
                    </a:graphicData>
                  </a:graphic>
                </wp:inline>
              </w:drawing>
            </w:r>
          </w:p>
          <w:p w14:paraId="358BA61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“哮喘咳嗽年”，因这年哮喘病大流行而命名。</w:t>
            </w:r>
          </w:p>
          <w:p w14:paraId="7ACB316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“流星年”，因这年有很多流星出现而命名。</w:t>
            </w:r>
          </w:p>
          <w:p w14:paraId="18312D4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“和平年”，因这年两个部族达成和平协议而命名</w:t>
            </w:r>
            <w:r>
              <w:rPr>
                <w:rFonts w:ascii="宋体" w:hAnsi="宋体" w:eastAsia="宋体" w:cs="宋体"/>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tc>
      </w:tr>
    </w:tbl>
    <w:p w14:paraId="2CEE719B">
      <w:pPr>
        <w:spacing w:line="360" w:lineRule="auto"/>
        <w:jc w:val="left"/>
        <w:textAlignment w:val="center"/>
        <w:rPr>
          <w:color w:val="000000"/>
        </w:rPr>
      </w:pPr>
    </w:p>
    <w:p w14:paraId="7FCE0B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文明交流推动社会进步</w:t>
      </w:r>
      <w:r>
        <w:rPr>
          <w:color w:val="000000"/>
        </w:rPr>
        <w:tab/>
      </w:r>
      <w:r>
        <w:rPr>
          <w:color w:val="000000"/>
        </w:rPr>
        <w:t xml:space="preserve">B. </w:t>
      </w:r>
      <w:r>
        <w:rPr>
          <w:rFonts w:ascii="宋体" w:hAnsi="宋体" w:eastAsia="宋体" w:cs="宋体"/>
          <w:color w:val="000000"/>
        </w:rPr>
        <w:t>采用事件纪年具有普遍性</w:t>
      </w:r>
    </w:p>
    <w:p w14:paraId="663665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人类社会经历了相同的发展阶段</w:t>
      </w:r>
      <w:r>
        <w:rPr>
          <w:color w:val="000000"/>
        </w:rPr>
        <w:tab/>
      </w:r>
      <w:r>
        <w:rPr>
          <w:color w:val="000000"/>
        </w:rPr>
        <w:t xml:space="preserve">D. </w:t>
      </w:r>
      <w:r>
        <w:rPr>
          <w:rFonts w:ascii="宋体" w:hAnsi="宋体" w:eastAsia="宋体" w:cs="宋体"/>
          <w:color w:val="000000"/>
        </w:rPr>
        <w:t>年名研究是了解历史的一种途径</w:t>
      </w:r>
    </w:p>
    <w:p w14:paraId="54D26EDB">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13</w:t>
      </w:r>
      <w:r>
        <w:rPr>
          <w:rFonts w:ascii="宋体" w:hAnsi="宋体" w:eastAsia="宋体" w:cs="宋体"/>
          <w:color w:val="000000"/>
        </w:rPr>
        <w:t>世纪以前，西欧的行会具有明显的开放性，学徒、帮工不论家庭出身，只要合乎资格就可以成为行会成员；</w:t>
      </w:r>
      <w:r>
        <w:rPr>
          <w:rFonts w:ascii="Times New Roman" w:hAnsi="Times New Roman" w:eastAsia="Times New Roman" w:cs="Times New Roman"/>
          <w:color w:val="000000"/>
        </w:rPr>
        <w:t>13</w:t>
      </w:r>
      <w:r>
        <w:rPr>
          <w:rFonts w:ascii="宋体" w:hAnsi="宋体" w:eastAsia="宋体" w:cs="宋体"/>
          <w:color w:val="000000"/>
        </w:rPr>
        <w:t>世纪以后，掌握着资本和生产的富人阶层控制了行会，出身贫寒的学徒、帮工面临着更高的入会门槛，行会成员逐渐成为世袭身份。这反映出（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519567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技术革新速度加快</w:t>
      </w:r>
      <w:r>
        <w:rPr>
          <w:color w:val="000000"/>
        </w:rPr>
        <w:tab/>
      </w:r>
      <w:r>
        <w:rPr>
          <w:color w:val="000000"/>
        </w:rPr>
        <w:t xml:space="preserve">B. </w:t>
      </w:r>
      <w:r>
        <w:rPr>
          <w:rFonts w:ascii="宋体" w:hAnsi="宋体" w:eastAsia="宋体" w:cs="宋体"/>
          <w:color w:val="000000"/>
        </w:rPr>
        <w:t>市场竞争日益加剧</w:t>
      </w:r>
    </w:p>
    <w:p w14:paraId="763894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城市管理体制逐步完善</w:t>
      </w:r>
      <w:r>
        <w:rPr>
          <w:color w:val="000000"/>
        </w:rPr>
        <w:tab/>
      </w:r>
      <w:r>
        <w:rPr>
          <w:color w:val="000000"/>
        </w:rPr>
        <w:t xml:space="preserve">D. </w:t>
      </w:r>
      <w:r>
        <w:rPr>
          <w:rFonts w:ascii="宋体" w:hAnsi="宋体" w:eastAsia="宋体" w:cs="宋体"/>
          <w:color w:val="000000"/>
        </w:rPr>
        <w:t>王权对城市的控制加强</w:t>
      </w:r>
    </w:p>
    <w:p w14:paraId="2AED7D43">
      <w:pPr>
        <w:spacing w:line="360" w:lineRule="auto"/>
        <w:jc w:val="left"/>
        <w:textAlignment w:val="center"/>
        <w:rPr>
          <w:color w:val="000000"/>
        </w:rPr>
      </w:pPr>
      <w:r>
        <w:rPr>
          <w:color w:val="000000"/>
        </w:rPr>
        <w:t xml:space="preserve">12. </w:t>
      </w:r>
      <w:r>
        <w:rPr>
          <w:rFonts w:ascii="宋体" w:hAnsi="宋体" w:eastAsia="宋体" w:cs="宋体"/>
          <w:color w:val="000000"/>
        </w:rPr>
        <w:t>在某些意义上，空想社会主义者是启蒙思想家的继承者，因为他们都相信犯罪和贪婪是罪恶环境的产物，也相信社会将趋于完美。但相比之下，空想社会主义者更为“激进”，这是因为他们把关注的重心转向了（</w:t>
      </w:r>
      <w:r>
        <w:rPr>
          <w:rFonts w:ascii="Times New Roman" w:hAnsi="Times New Roman" w:eastAsia="Times New Roman" w:cs="Times New Roman"/>
          <w:color w:val="000000"/>
        </w:rPr>
        <w:t xml:space="preserve">    </w:t>
      </w:r>
      <w:r>
        <w:rPr>
          <w:rFonts w:ascii="宋体" w:hAnsi="宋体" w:eastAsia="宋体" w:cs="宋体"/>
          <w:color w:val="000000"/>
        </w:rPr>
        <w:t>）</w:t>
      </w:r>
    </w:p>
    <w:p w14:paraId="68DAB4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经济规律</w:t>
      </w:r>
      <w:r>
        <w:rPr>
          <w:color w:val="000000"/>
        </w:rPr>
        <w:tab/>
      </w:r>
      <w:r>
        <w:rPr>
          <w:color w:val="000000"/>
        </w:rPr>
        <w:t xml:space="preserve">B. </w:t>
      </w:r>
      <w:r>
        <w:rPr>
          <w:rFonts w:ascii="宋体" w:hAnsi="宋体" w:eastAsia="宋体" w:cs="宋体"/>
          <w:color w:val="000000"/>
        </w:rPr>
        <w:t>理想社会</w:t>
      </w:r>
      <w:r>
        <w:rPr>
          <w:color w:val="000000"/>
        </w:rPr>
        <w:tab/>
      </w:r>
      <w:r>
        <w:rPr>
          <w:color w:val="000000"/>
        </w:rPr>
        <w:t xml:space="preserve">C. </w:t>
      </w:r>
      <w:r>
        <w:rPr>
          <w:rFonts w:ascii="宋体" w:hAnsi="宋体" w:eastAsia="宋体" w:cs="宋体"/>
          <w:color w:val="000000"/>
        </w:rPr>
        <w:t>社会正义</w:t>
      </w:r>
      <w:r>
        <w:rPr>
          <w:color w:val="000000"/>
        </w:rPr>
        <w:tab/>
      </w:r>
      <w:r>
        <w:rPr>
          <w:color w:val="000000"/>
        </w:rPr>
        <w:t xml:space="preserve">D. </w:t>
      </w:r>
      <w:r>
        <w:rPr>
          <w:rFonts w:ascii="宋体" w:hAnsi="宋体" w:eastAsia="宋体" w:cs="宋体"/>
          <w:color w:val="000000"/>
        </w:rPr>
        <w:t>阶级斗争</w:t>
      </w:r>
    </w:p>
    <w:p w14:paraId="3DD06D9F">
      <w:pPr>
        <w:spacing w:line="360" w:lineRule="auto"/>
        <w:jc w:val="left"/>
        <w:textAlignment w:val="center"/>
        <w:rPr>
          <w:color w:val="000000"/>
        </w:rPr>
      </w:pPr>
      <w:r>
        <w:rPr>
          <w:color w:val="000000"/>
        </w:rPr>
        <w:t xml:space="preserve">13. </w:t>
      </w:r>
      <w:r>
        <w:rPr>
          <w:rFonts w:ascii="宋体" w:hAnsi="宋体" w:eastAsia="宋体" w:cs="宋体"/>
          <w:color w:val="000000"/>
        </w:rPr>
        <w:t>下图为</w:t>
      </w:r>
      <w:r>
        <w:rPr>
          <w:rFonts w:ascii="Times New Roman" w:hAnsi="Times New Roman" w:eastAsia="Times New Roman" w:cs="Times New Roman"/>
          <w:color w:val="000000"/>
        </w:rPr>
        <w:t>1918</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日英国《笨拙》杂志刊登的一幅漫画《大兵与文官》。该漫画揭示出（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20"/>
      </w:tblGrid>
      <w:tr w14:paraId="68D0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46D9A">
            <w:pPr>
              <w:spacing w:line="360" w:lineRule="auto"/>
              <w:jc w:val="left"/>
              <w:textAlignment w:val="center"/>
              <w:rPr>
                <w:color w:val="000000"/>
              </w:rPr>
            </w:pPr>
            <w:r>
              <w:rPr>
                <w:color w:val="000000"/>
              </w:rPr>
              <w:drawing>
                <wp:inline distT="0" distB="0" distL="114300" distR="114300">
                  <wp:extent cx="962025" cy="1381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62025" cy="1381125"/>
                          </a:xfrm>
                          <a:prstGeom prst="rect">
                            <a:avLst/>
                          </a:prstGeom>
                        </pic:spPr>
                      </pic:pic>
                    </a:graphicData>
                  </a:graphic>
                </wp:inline>
              </w:drawing>
            </w:r>
          </w:p>
          <w:p w14:paraId="48D5A5BF">
            <w:pPr>
              <w:spacing w:line="360" w:lineRule="auto"/>
              <w:jc w:val="left"/>
              <w:textAlignment w:val="center"/>
              <w:rPr>
                <w:color w:val="000000"/>
              </w:rPr>
            </w:pPr>
            <w:r>
              <w:rPr>
                <w:rFonts w:ascii="宋体" w:hAnsi="宋体" w:eastAsia="宋体" w:cs="宋体"/>
                <w:color w:val="000000"/>
              </w:rPr>
              <w:t>协约国军队总指挥福煦对法国总理克里孟梭、美国总统威尔逊和英国首相劳合·乔治说：先生们、如果你们要走这条路，小心踩雷！</w:t>
            </w:r>
          </w:p>
        </w:tc>
      </w:tr>
    </w:tbl>
    <w:p w14:paraId="53E4A2A4">
      <w:pPr>
        <w:spacing w:line="360" w:lineRule="auto"/>
        <w:jc w:val="left"/>
        <w:textAlignment w:val="center"/>
        <w:rPr>
          <w:color w:val="000000"/>
        </w:rPr>
      </w:pPr>
    </w:p>
    <w:p w14:paraId="17DB75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英国对德国的强烈担忧</w:t>
      </w:r>
      <w:r>
        <w:rPr>
          <w:color w:val="000000"/>
        </w:rPr>
        <w:tab/>
      </w:r>
      <w:r>
        <w:rPr>
          <w:color w:val="000000"/>
        </w:rPr>
        <w:t xml:space="preserve">B. </w:t>
      </w:r>
      <w:r>
        <w:rPr>
          <w:rFonts w:ascii="宋体" w:hAnsi="宋体" w:eastAsia="宋体" w:cs="宋体"/>
          <w:color w:val="000000"/>
        </w:rPr>
        <w:t>第一次世界大战的非正义性</w:t>
      </w:r>
    </w:p>
    <w:p w14:paraId="6A3C84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战后国际关系体系的脆弱</w:t>
      </w:r>
      <w:r>
        <w:rPr>
          <w:color w:val="000000"/>
        </w:rPr>
        <w:tab/>
      </w:r>
      <w:r>
        <w:rPr>
          <w:color w:val="000000"/>
        </w:rPr>
        <w:t xml:space="preserve">D. </w:t>
      </w:r>
      <w:r>
        <w:rPr>
          <w:rFonts w:ascii="宋体" w:hAnsi="宋体" w:eastAsia="宋体" w:cs="宋体"/>
          <w:color w:val="000000"/>
        </w:rPr>
        <w:t>英、法、美利益诉求的一致性</w:t>
      </w:r>
    </w:p>
    <w:p w14:paraId="5604F777">
      <w:pPr>
        <w:spacing w:line="360" w:lineRule="auto"/>
        <w:jc w:val="left"/>
        <w:textAlignment w:val="center"/>
        <w:rPr>
          <w:color w:val="000000"/>
        </w:rPr>
      </w:pPr>
      <w:r>
        <w:rPr>
          <w:color w:val="000000"/>
        </w:rPr>
        <w:t xml:space="preserve">14. </w:t>
      </w:r>
      <w:r>
        <w:rPr>
          <w:rFonts w:ascii="宋体" w:hAnsi="宋体" w:eastAsia="宋体" w:cs="宋体"/>
          <w:color w:val="000000"/>
        </w:rPr>
        <w:t>下表为</w:t>
      </w:r>
      <w:r>
        <w:rPr>
          <w:rFonts w:ascii="Times New Roman" w:hAnsi="Times New Roman" w:eastAsia="Times New Roman" w:cs="Times New Roman"/>
          <w:color w:val="000000"/>
        </w:rPr>
        <w:t>1935</w:t>
      </w:r>
      <w:r>
        <w:rPr>
          <w:rFonts w:ascii="宋体" w:hAnsi="宋体" w:eastAsia="宋体" w:cs="宋体"/>
          <w:color w:val="000000"/>
        </w:rPr>
        <w:t>—</w:t>
      </w:r>
      <w:r>
        <w:rPr>
          <w:rFonts w:ascii="Times New Roman" w:hAnsi="Times New Roman" w:eastAsia="Times New Roman" w:cs="Times New Roman"/>
          <w:color w:val="000000"/>
        </w:rPr>
        <w:t>1950</w:t>
      </w:r>
      <w:r>
        <w:rPr>
          <w:rFonts w:ascii="宋体" w:hAnsi="宋体" w:eastAsia="宋体" w:cs="宋体"/>
          <w:color w:val="000000"/>
        </w:rPr>
        <w:t>年美国对外投资中私人投资和政府投资情况统计（单位：亿美元）。这两种投资</w:t>
      </w:r>
      <w:r>
        <w:rPr>
          <w:rFonts w:ascii="宋体" w:hAnsi="宋体" w:eastAsia="宋体" w:cs="宋体"/>
          <w:color w:val="000000"/>
          <w:position w:val="0"/>
        </w:rPr>
        <w:drawing>
          <wp:inline distT="0" distB="0" distL="114300" distR="114300">
            <wp:extent cx="133350" cy="177800"/>
            <wp:effectExtent l="0" t="0" r="0" b="13335"/>
            <wp:docPr id="1586538915" name="图片 1586538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38915" name="图片 15865389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结构性变化反映了美国（</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1080"/>
      </w:tblGrid>
      <w:tr w14:paraId="1C87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AA48D">
            <w:pPr>
              <w:spacing w:line="360" w:lineRule="auto"/>
              <w:jc w:val="left"/>
              <w:textAlignment w:val="center"/>
              <w:rPr>
                <w:color w:val="000000"/>
              </w:rPr>
            </w:pPr>
            <w:r>
              <w:rPr>
                <w:rFonts w:ascii="宋体" w:hAnsi="宋体" w:eastAsia="宋体" w:cs="宋体"/>
                <w:color w:val="000000"/>
              </w:rPr>
              <w:t>类型</w:t>
            </w:r>
          </w:p>
          <w:p w14:paraId="6163B299">
            <w:pPr>
              <w:spacing w:line="360" w:lineRule="auto"/>
              <w:jc w:val="left"/>
              <w:textAlignment w:val="center"/>
              <w:rPr>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E504B7">
            <w:pPr>
              <w:spacing w:line="360" w:lineRule="auto"/>
              <w:jc w:val="left"/>
              <w:textAlignment w:val="center"/>
              <w:rPr>
                <w:color w:val="000000"/>
              </w:rPr>
            </w:pPr>
            <w:r>
              <w:rPr>
                <w:rFonts w:ascii="宋体" w:hAnsi="宋体" w:eastAsia="宋体" w:cs="宋体"/>
                <w:color w:val="000000"/>
              </w:rPr>
              <w:t>私人投资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D3E22">
            <w:pPr>
              <w:spacing w:line="360" w:lineRule="auto"/>
              <w:jc w:val="left"/>
              <w:textAlignment w:val="center"/>
              <w:rPr>
                <w:color w:val="000000"/>
              </w:rPr>
            </w:pPr>
            <w:r>
              <w:rPr>
                <w:rFonts w:ascii="宋体" w:hAnsi="宋体" w:eastAsia="宋体" w:cs="宋体"/>
                <w:color w:val="000000"/>
              </w:rPr>
              <w:t>政府投资</w:t>
            </w:r>
          </w:p>
        </w:tc>
      </w:tr>
      <w:tr w14:paraId="74D4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02CD6">
            <w:pPr>
              <w:spacing w:line="360" w:lineRule="auto"/>
              <w:jc w:val="left"/>
              <w:textAlignment w:val="center"/>
              <w:rPr>
                <w:color w:val="000000"/>
              </w:rPr>
            </w:pPr>
            <w:r>
              <w:rPr>
                <w:rFonts w:ascii="Times New Roman" w:hAnsi="Times New Roman" w:eastAsia="Times New Roman" w:cs="Times New Roman"/>
                <w:color w:val="000000"/>
              </w:rPr>
              <w:t>1935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B7F2F0">
            <w:pPr>
              <w:spacing w:line="360" w:lineRule="auto"/>
              <w:jc w:val="left"/>
              <w:textAlignment w:val="center"/>
              <w:rPr>
                <w:color w:val="000000"/>
              </w:rPr>
            </w:pPr>
            <w:r>
              <w:rPr>
                <w:rFonts w:ascii="Times New Roman" w:hAnsi="Times New Roman" w:eastAsia="Times New Roman" w:cs="Times New Roman"/>
                <w:color w:val="000000"/>
              </w:rPr>
              <w:t>135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65359">
            <w:pPr>
              <w:spacing w:line="360" w:lineRule="auto"/>
              <w:jc w:val="left"/>
              <w:textAlignment w:val="center"/>
              <w:rPr>
                <w:color w:val="000000"/>
              </w:rPr>
            </w:pPr>
            <w:r>
              <w:rPr>
                <w:rFonts w:ascii="Times New Roman" w:hAnsi="Times New Roman" w:eastAsia="Times New Roman" w:cs="Times New Roman"/>
                <w:color w:val="000000"/>
              </w:rPr>
              <w:t>101</w:t>
            </w:r>
          </w:p>
        </w:tc>
      </w:tr>
      <w:tr w14:paraId="2229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07D5B">
            <w:pPr>
              <w:spacing w:line="360" w:lineRule="auto"/>
              <w:jc w:val="left"/>
              <w:textAlignment w:val="center"/>
              <w:rPr>
                <w:color w:val="000000"/>
              </w:rPr>
            </w:pPr>
            <w:r>
              <w:rPr>
                <w:rFonts w:ascii="Times New Roman" w:hAnsi="Times New Roman" w:eastAsia="Times New Roman" w:cs="Times New Roman"/>
                <w:color w:val="000000"/>
              </w:rPr>
              <w:t>1940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C908B1">
            <w:pPr>
              <w:spacing w:line="360" w:lineRule="auto"/>
              <w:jc w:val="left"/>
              <w:textAlignment w:val="center"/>
              <w:rPr>
                <w:color w:val="000000"/>
              </w:rPr>
            </w:pPr>
            <w:r>
              <w:rPr>
                <w:rFonts w:ascii="Times New Roman" w:hAnsi="Times New Roman" w:eastAsia="Times New Roman" w:cs="Times New Roman"/>
                <w:color w:val="000000"/>
              </w:rPr>
              <w:t>122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B7EDB">
            <w:pPr>
              <w:spacing w:line="360" w:lineRule="auto"/>
              <w:jc w:val="left"/>
              <w:textAlignment w:val="center"/>
              <w:rPr>
                <w:color w:val="000000"/>
              </w:rPr>
            </w:pPr>
            <w:r>
              <w:rPr>
                <w:rFonts w:ascii="Times New Roman" w:hAnsi="Times New Roman" w:eastAsia="Times New Roman" w:cs="Times New Roman"/>
                <w:color w:val="000000"/>
              </w:rPr>
              <w:t>221</w:t>
            </w:r>
          </w:p>
        </w:tc>
      </w:tr>
      <w:tr w14:paraId="02D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14FD0D">
            <w:pPr>
              <w:spacing w:line="360" w:lineRule="auto"/>
              <w:jc w:val="left"/>
              <w:textAlignment w:val="center"/>
              <w:rPr>
                <w:color w:val="000000"/>
              </w:rPr>
            </w:pPr>
            <w:r>
              <w:rPr>
                <w:rFonts w:ascii="Times New Roman" w:hAnsi="Times New Roman" w:eastAsia="Times New Roman" w:cs="Times New Roman"/>
                <w:color w:val="000000"/>
              </w:rPr>
              <w:t>1945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7284B">
            <w:pPr>
              <w:spacing w:line="360" w:lineRule="auto"/>
              <w:jc w:val="left"/>
              <w:textAlignment w:val="center"/>
              <w:rPr>
                <w:color w:val="000000"/>
              </w:rPr>
            </w:pPr>
            <w:r>
              <w:rPr>
                <w:rFonts w:ascii="Times New Roman" w:hAnsi="Times New Roman" w:eastAsia="Times New Roman" w:cs="Times New Roman"/>
                <w:color w:val="000000"/>
              </w:rPr>
              <w:t>147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0617EC">
            <w:pPr>
              <w:spacing w:line="360" w:lineRule="auto"/>
              <w:jc w:val="left"/>
              <w:textAlignment w:val="center"/>
              <w:rPr>
                <w:color w:val="000000"/>
              </w:rPr>
            </w:pPr>
            <w:r>
              <w:rPr>
                <w:rFonts w:ascii="Times New Roman" w:hAnsi="Times New Roman" w:eastAsia="Times New Roman" w:cs="Times New Roman"/>
                <w:color w:val="000000"/>
              </w:rPr>
              <w:t>222</w:t>
            </w:r>
          </w:p>
        </w:tc>
      </w:tr>
      <w:tr w14:paraId="3DBD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3FBDE">
            <w:pPr>
              <w:spacing w:line="360" w:lineRule="auto"/>
              <w:jc w:val="left"/>
              <w:textAlignment w:val="center"/>
              <w:rPr>
                <w:color w:val="000000"/>
              </w:rPr>
            </w:pPr>
            <w:r>
              <w:rPr>
                <w:rFonts w:ascii="Times New Roman" w:hAnsi="Times New Roman" w:eastAsia="Times New Roman" w:cs="Times New Roman"/>
                <w:color w:val="000000"/>
              </w:rPr>
              <w:t>1950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000B4">
            <w:pPr>
              <w:spacing w:line="360" w:lineRule="auto"/>
              <w:jc w:val="left"/>
              <w:textAlignment w:val="center"/>
              <w:rPr>
                <w:color w:val="000000"/>
              </w:rPr>
            </w:pPr>
            <w:r>
              <w:rPr>
                <w:rFonts w:ascii="Times New Roman" w:hAnsi="Times New Roman" w:eastAsia="Times New Roman" w:cs="Times New Roman"/>
                <w:color w:val="000000"/>
              </w:rPr>
              <w:t>190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53E30B">
            <w:pPr>
              <w:spacing w:line="360" w:lineRule="auto"/>
              <w:jc w:val="left"/>
              <w:textAlignment w:val="center"/>
              <w:rPr>
                <w:color w:val="000000"/>
              </w:rPr>
            </w:pPr>
            <w:r>
              <w:rPr>
                <w:rFonts w:ascii="Times New Roman" w:hAnsi="Times New Roman" w:eastAsia="Times New Roman" w:cs="Times New Roman"/>
                <w:color w:val="000000"/>
              </w:rPr>
              <w:t>354</w:t>
            </w:r>
          </w:p>
        </w:tc>
      </w:tr>
    </w:tbl>
    <w:p w14:paraId="22208AEB">
      <w:pPr>
        <w:spacing w:line="360" w:lineRule="auto"/>
        <w:jc w:val="left"/>
        <w:textAlignment w:val="center"/>
        <w:rPr>
          <w:color w:val="000000"/>
        </w:rPr>
      </w:pPr>
    </w:p>
    <w:p w14:paraId="0D25B68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恢复经济发展的努力</w:t>
      </w:r>
      <w:r>
        <w:rPr>
          <w:color w:val="000000"/>
        </w:rPr>
        <w:tab/>
      </w:r>
      <w:r>
        <w:rPr>
          <w:color w:val="000000"/>
        </w:rPr>
        <w:t xml:space="preserve">B. </w:t>
      </w:r>
      <w:r>
        <w:rPr>
          <w:rFonts w:ascii="宋体" w:hAnsi="宋体" w:eastAsia="宋体" w:cs="宋体"/>
          <w:color w:val="000000"/>
        </w:rPr>
        <w:t>放松了对拉美的控制</w:t>
      </w:r>
    </w:p>
    <w:p w14:paraId="4DFE17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跨国公司的迅速发展</w:t>
      </w:r>
      <w:r>
        <w:rPr>
          <w:color w:val="000000"/>
        </w:rPr>
        <w:tab/>
      </w:r>
      <w:r>
        <w:rPr>
          <w:color w:val="000000"/>
        </w:rPr>
        <w:t xml:space="preserve">D. </w:t>
      </w:r>
      <w:r>
        <w:rPr>
          <w:rFonts w:ascii="宋体" w:hAnsi="宋体" w:eastAsia="宋体" w:cs="宋体"/>
          <w:color w:val="000000"/>
        </w:rPr>
        <w:t>国家安全战略的调整</w:t>
      </w:r>
    </w:p>
    <w:p w14:paraId="31BEE209">
      <w:pPr>
        <w:spacing w:line="360" w:lineRule="auto"/>
        <w:jc w:val="left"/>
        <w:textAlignment w:val="center"/>
        <w:rPr>
          <w:color w:val="000000"/>
        </w:rPr>
      </w:pPr>
      <w:r>
        <w:rPr>
          <w:color w:val="000000"/>
        </w:rPr>
        <w:t xml:space="preserve">15. </w:t>
      </w:r>
      <w:r>
        <w:rPr>
          <w:rFonts w:ascii="宋体" w:hAnsi="宋体" w:eastAsia="宋体" w:cs="宋体"/>
          <w:color w:val="000000"/>
        </w:rPr>
        <w:t>下图为</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年代后期和</w:t>
      </w:r>
      <w:r>
        <w:rPr>
          <w:rFonts w:ascii="Times New Roman" w:hAnsi="Times New Roman" w:eastAsia="Times New Roman" w:cs="Times New Roman"/>
          <w:color w:val="000000"/>
        </w:rPr>
        <w:t>80</w:t>
      </w:r>
      <w:r>
        <w:rPr>
          <w:rFonts w:ascii="宋体" w:hAnsi="宋体" w:eastAsia="宋体" w:cs="宋体"/>
          <w:color w:val="000000"/>
        </w:rPr>
        <w:t>年代前期英国四类商品进口额在进口总值中的占比示意图。导致占比变化的主要原因是（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6AC967BE">
      <w:pPr>
        <w:spacing w:line="360" w:lineRule="auto"/>
        <w:jc w:val="left"/>
        <w:textAlignment w:val="center"/>
        <w:rPr>
          <w:color w:val="000000"/>
        </w:rPr>
      </w:pPr>
      <w:r>
        <w:rPr>
          <w:color w:val="000000"/>
        </w:rPr>
        <w:drawing>
          <wp:inline distT="0" distB="0" distL="114300" distR="114300">
            <wp:extent cx="2971800" cy="12858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71800" cy="1285875"/>
                    </a:xfrm>
                    <a:prstGeom prst="rect">
                      <a:avLst/>
                    </a:prstGeom>
                  </pic:spPr>
                </pic:pic>
              </a:graphicData>
            </a:graphic>
          </wp:inline>
        </w:drawing>
      </w:r>
    </w:p>
    <w:p w14:paraId="36476B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英国经济竞争力下降</w:t>
      </w:r>
      <w:r>
        <w:rPr>
          <w:color w:val="000000"/>
        </w:rPr>
        <w:tab/>
      </w:r>
      <w:r>
        <w:rPr>
          <w:color w:val="000000"/>
        </w:rPr>
        <w:t xml:space="preserve">B. </w:t>
      </w:r>
      <w:r>
        <w:rPr>
          <w:rFonts w:ascii="宋体" w:hAnsi="宋体" w:eastAsia="宋体" w:cs="宋体"/>
          <w:color w:val="000000"/>
        </w:rPr>
        <w:t>环境保护主义的兴起</w:t>
      </w:r>
    </w:p>
    <w:p w14:paraId="7BD09F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欧洲产业结构的调整</w:t>
      </w:r>
      <w:r>
        <w:rPr>
          <w:color w:val="000000"/>
        </w:rPr>
        <w:tab/>
      </w:r>
      <w:r>
        <w:rPr>
          <w:color w:val="000000"/>
        </w:rPr>
        <w:t xml:space="preserve">D. </w:t>
      </w:r>
      <w:r>
        <w:rPr>
          <w:rFonts w:ascii="宋体" w:hAnsi="宋体" w:eastAsia="宋体" w:cs="宋体"/>
          <w:color w:val="000000"/>
        </w:rPr>
        <w:t>经济全球化进程加快</w:t>
      </w:r>
    </w:p>
    <w:p w14:paraId="2434EE81">
      <w:pPr>
        <w:spacing w:line="285" w:lineRule="auto"/>
        <w:jc w:val="left"/>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1FB1155A">
      <w:pPr>
        <w:spacing w:line="360" w:lineRule="auto"/>
        <w:jc w:val="left"/>
        <w:textAlignment w:val="center"/>
        <w:rPr>
          <w:color w:val="000000"/>
        </w:rPr>
      </w:pPr>
      <w:r>
        <w:rPr>
          <w:color w:val="000000"/>
        </w:rPr>
        <w:t xml:space="preserve">16. </w:t>
      </w:r>
      <w:r>
        <w:rPr>
          <w:rFonts w:ascii="宋体" w:hAnsi="宋体" w:eastAsia="宋体" w:cs="宋体"/>
          <w:color w:val="000000"/>
        </w:rPr>
        <w:t>阅读材料，回答问题。</w:t>
      </w:r>
    </w:p>
    <w:p w14:paraId="6EFF7009">
      <w:pPr>
        <w:spacing w:line="360" w:lineRule="auto"/>
        <w:jc w:val="center"/>
        <w:textAlignment w:val="center"/>
        <w:rPr>
          <w:color w:val="000000"/>
        </w:rPr>
      </w:pPr>
      <w:r>
        <w:rPr>
          <w:rFonts w:ascii="楷体" w:hAnsi="楷体" w:eastAsia="楷体" w:cs="楷体"/>
          <w:color w:val="000000"/>
        </w:rPr>
        <w:t>“江南经济区”的</w:t>
      </w:r>
    </w:p>
    <w:p w14:paraId="03A4B9B7">
      <w:pPr>
        <w:spacing w:line="360" w:lineRule="auto"/>
        <w:jc w:val="left"/>
        <w:textAlignment w:val="center"/>
        <w:rPr>
          <w:color w:val="000000"/>
        </w:rPr>
      </w:pPr>
      <w:r>
        <w:rPr>
          <w:color w:val="000000"/>
        </w:rPr>
        <w:drawing>
          <wp:inline distT="0" distB="0" distL="114300" distR="114300">
            <wp:extent cx="5191125" cy="22002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191125" cy="2200275"/>
                    </a:xfrm>
                    <a:prstGeom prst="rect">
                      <a:avLst/>
                    </a:prstGeom>
                  </pic:spPr>
                </pic:pic>
              </a:graphicData>
            </a:graphic>
          </wp:inline>
        </w:drawing>
      </w:r>
    </w:p>
    <w:p w14:paraId="574FFA96">
      <w:pPr>
        <w:spacing w:line="360" w:lineRule="auto"/>
        <w:jc w:val="right"/>
        <w:textAlignment w:val="center"/>
        <w:rPr>
          <w:color w:val="000000"/>
        </w:rPr>
      </w:pPr>
      <w:r>
        <w:rPr>
          <w:rFonts w:ascii="楷体" w:hAnsi="楷体" w:eastAsia="楷体" w:cs="楷体"/>
          <w:color w:val="000000"/>
        </w:rPr>
        <w:t>——据贺业钜《中国古代城市规划史》</w:t>
      </w:r>
    </w:p>
    <w:p w14:paraId="28127EAF">
      <w:pPr>
        <w:spacing w:line="360" w:lineRule="auto"/>
        <w:jc w:val="left"/>
        <w:textAlignment w:val="center"/>
        <w:rPr>
          <w:color w:val="000000"/>
        </w:rPr>
      </w:pPr>
      <w:r>
        <w:rPr>
          <w:rFonts w:ascii="宋体" w:hAnsi="宋体" w:eastAsia="宋体" w:cs="宋体"/>
          <w:color w:val="000000"/>
        </w:rPr>
        <w:t>概括说明“江南经济区”的变化体现了汉唐时期怎样的经济发展趋势。</w:t>
      </w:r>
    </w:p>
    <w:p w14:paraId="0709D917">
      <w:pPr>
        <w:spacing w:line="360" w:lineRule="auto"/>
        <w:jc w:val="left"/>
        <w:textAlignment w:val="center"/>
        <w:rPr>
          <w:color w:val="000000"/>
        </w:rPr>
      </w:pPr>
      <w:r>
        <w:rPr>
          <w:color w:val="000000"/>
        </w:rPr>
        <w:t xml:space="preserve">17. </w:t>
      </w:r>
      <w:r>
        <w:rPr>
          <w:rFonts w:ascii="宋体" w:hAnsi="宋体" w:eastAsia="宋体" w:cs="宋体"/>
          <w:color w:val="000000"/>
        </w:rPr>
        <w:t>阅读材料，回答问题。</w:t>
      </w:r>
    </w:p>
    <w:p w14:paraId="29720ECC">
      <w:pPr>
        <w:spacing w:line="360" w:lineRule="auto"/>
        <w:ind w:firstLine="420"/>
        <w:jc w:val="center"/>
        <w:textAlignment w:val="center"/>
        <w:rPr>
          <w:color w:val="000000"/>
        </w:rPr>
      </w:pPr>
      <w:r>
        <w:rPr>
          <w:rFonts w:ascii="楷体" w:hAnsi="楷体" w:eastAsia="楷体" w:cs="楷体"/>
          <w:color w:val="000000"/>
        </w:rPr>
        <w:t>“鸦片战争”的时空之维</w:t>
      </w:r>
    </w:p>
    <w:p w14:paraId="799F1A7C">
      <w:pPr>
        <w:spacing w:line="360" w:lineRule="auto"/>
        <w:ind w:firstLine="420"/>
        <w:jc w:val="left"/>
        <w:textAlignment w:val="center"/>
        <w:rPr>
          <w:color w:val="000000"/>
        </w:rPr>
      </w:pPr>
      <w:r>
        <w:rPr>
          <w:rFonts w:ascii="楷体" w:hAnsi="楷体" w:eastAsia="楷体" w:cs="楷体"/>
          <w:color w:val="000000"/>
        </w:rPr>
        <w:t>材料一  图为1936年《儿童杂志》刊载的《谈谈鸦片战争》的会话摘编。</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14:paraId="5262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16A99">
            <w:pPr>
              <w:spacing w:line="360" w:lineRule="auto"/>
              <w:jc w:val="left"/>
              <w:textAlignment w:val="center"/>
              <w:rPr>
                <w:color w:val="000000"/>
              </w:rPr>
            </w:pPr>
            <w:r>
              <w:rPr>
                <w:rFonts w:ascii="楷体" w:hAnsi="楷体" w:eastAsia="楷体" w:cs="楷体"/>
                <w:color w:val="000000"/>
              </w:rPr>
              <w:t>（大聪——哥哥，省立中学学生）</w:t>
            </w:r>
          </w:p>
          <w:p w14:paraId="08DEF868">
            <w:pPr>
              <w:spacing w:line="360" w:lineRule="auto"/>
              <w:jc w:val="left"/>
              <w:textAlignment w:val="center"/>
              <w:rPr>
                <w:color w:val="000000"/>
              </w:rPr>
            </w:pPr>
            <w:r>
              <w:rPr>
                <w:rFonts w:ascii="楷体" w:hAnsi="楷体" w:eastAsia="楷体" w:cs="楷体"/>
                <w:color w:val="000000"/>
              </w:rPr>
              <w:t>（小敏——弟弟，育才小学学生）</w:t>
            </w:r>
          </w:p>
          <w:p w14:paraId="08BEED44">
            <w:pPr>
              <w:spacing w:line="360" w:lineRule="auto"/>
              <w:jc w:val="left"/>
              <w:textAlignment w:val="center"/>
              <w:rPr>
                <w:color w:val="000000"/>
              </w:rPr>
            </w:pPr>
            <w:r>
              <w:rPr>
                <w:rFonts w:ascii="楷体" w:hAnsi="楷体" w:eastAsia="楷体" w:cs="楷体"/>
                <w:color w:val="000000"/>
              </w:rPr>
              <w:t>小敏：哥哥，我要问“鸦片战争”是怎样一回事?</w:t>
            </w:r>
          </w:p>
          <w:p w14:paraId="74784D53">
            <w:pPr>
              <w:spacing w:line="360" w:lineRule="auto"/>
              <w:jc w:val="left"/>
              <w:textAlignment w:val="center"/>
              <w:rPr>
                <w:color w:val="000000"/>
              </w:rPr>
            </w:pPr>
            <w:r>
              <w:rPr>
                <w:rFonts w:ascii="楷体" w:hAnsi="楷体" w:eastAsia="楷体" w:cs="楷体"/>
                <w:color w:val="000000"/>
              </w:rPr>
              <w:t>大聪：清朝的时候，鸦片运来得越来越多，现银流出也就跟着多了，好几个皇帝都下过禁烟的命令。</w:t>
            </w:r>
          </w:p>
          <w:p w14:paraId="22B71DC0">
            <w:pPr>
              <w:spacing w:line="360" w:lineRule="auto"/>
              <w:jc w:val="left"/>
              <w:textAlignment w:val="center"/>
              <w:rPr>
                <w:color w:val="000000"/>
              </w:rPr>
            </w:pPr>
            <w:r>
              <w:rPr>
                <w:rFonts w:ascii="楷体" w:hAnsi="楷体" w:eastAsia="楷体" w:cs="楷体"/>
                <w:color w:val="000000"/>
              </w:rPr>
              <w:t>小敏：那么，怎么会同英国人打起来的呢?</w:t>
            </w:r>
          </w:p>
          <w:p w14:paraId="050D863C">
            <w:pPr>
              <w:spacing w:line="360" w:lineRule="auto"/>
              <w:jc w:val="left"/>
              <w:textAlignment w:val="center"/>
              <w:rPr>
                <w:color w:val="000000"/>
              </w:rPr>
            </w:pPr>
            <w:r>
              <w:rPr>
                <w:rFonts w:ascii="楷体" w:hAnsi="楷体" w:eastAsia="楷体" w:cs="楷体"/>
                <w:color w:val="000000"/>
              </w:rPr>
              <w:t>大聪：皇帝叫林则徐到广东查禁鸦片，但英国商人不服从禁烟命令，不怪自己不好，反去求印度总督来救援。</w:t>
            </w:r>
          </w:p>
          <w:p w14:paraId="0FF4C5A4">
            <w:pPr>
              <w:spacing w:line="360" w:lineRule="auto"/>
              <w:jc w:val="left"/>
              <w:textAlignment w:val="center"/>
              <w:rPr>
                <w:color w:val="000000"/>
              </w:rPr>
            </w:pPr>
            <w:r>
              <w:rPr>
                <w:rFonts w:ascii="楷体" w:hAnsi="楷体" w:eastAsia="楷体" w:cs="楷体"/>
                <w:color w:val="000000"/>
              </w:rPr>
              <w:t>小敏：林则徐就吃了败仗?</w:t>
            </w:r>
          </w:p>
          <w:p w14:paraId="782B3FF5">
            <w:pPr>
              <w:spacing w:line="360" w:lineRule="auto"/>
              <w:jc w:val="left"/>
              <w:textAlignment w:val="center"/>
              <w:rPr>
                <w:color w:val="000000"/>
              </w:rPr>
            </w:pPr>
            <w:r>
              <w:rPr>
                <w:rFonts w:ascii="楷体" w:hAnsi="楷体" w:eastAsia="楷体" w:cs="楷体"/>
                <w:color w:val="000000"/>
              </w:rPr>
              <w:t>大聪：不!打了胜仗，可后来英兵攻打浙江，破定海，封镇宁波，进逼天津，清朝皇帝不中用，怪林则徐闹出乱子来，把他革职，叫琦善去和英人议和。琦善这个人不会办事，英兵就再打进吴淞，进逼南京。清朝皇帝就和他们订立了一个丧权辱国的《南京条约》。</w:t>
            </w:r>
          </w:p>
          <w:p w14:paraId="79AEE8C6">
            <w:pPr>
              <w:spacing w:line="360" w:lineRule="auto"/>
              <w:jc w:val="left"/>
              <w:textAlignment w:val="center"/>
              <w:rPr>
                <w:color w:val="000000"/>
              </w:rPr>
            </w:pPr>
            <w:r>
              <w:rPr>
                <w:rFonts w:ascii="楷体" w:hAnsi="楷体" w:eastAsia="楷体" w:cs="楷体"/>
                <w:color w:val="000000"/>
              </w:rPr>
              <w:t>小敏：……</w:t>
            </w:r>
          </w:p>
        </w:tc>
      </w:tr>
    </w:tbl>
    <w:p w14:paraId="4CA5252A">
      <w:pPr>
        <w:spacing w:line="360" w:lineRule="auto"/>
        <w:ind w:firstLine="420"/>
        <w:jc w:val="left"/>
        <w:textAlignment w:val="center"/>
        <w:rPr>
          <w:color w:val="000000"/>
        </w:rPr>
      </w:pPr>
      <w:r>
        <w:rPr>
          <w:rFonts w:ascii="楷体" w:hAnsi="楷体" w:eastAsia="楷体" w:cs="楷体"/>
          <w:color w:val="000000"/>
        </w:rPr>
        <w:t>材料二  研究中国近代史有两个基本点：一是以“近代性”（科学与民主）区分近代史与晚清史；二是把中国近代史当作世界史，这两个点是我们看历史的“眼睛”，它是立体的、全方位的“眼睛”。</w:t>
      </w:r>
    </w:p>
    <w:p w14:paraId="04C5AF6B">
      <w:pPr>
        <w:spacing w:line="360" w:lineRule="auto"/>
        <w:ind w:firstLine="420"/>
        <w:jc w:val="right"/>
        <w:textAlignment w:val="center"/>
        <w:rPr>
          <w:color w:val="000000"/>
        </w:rPr>
      </w:pPr>
      <w:r>
        <w:rPr>
          <w:rFonts w:ascii="楷体" w:hAnsi="楷体" w:eastAsia="楷体" w:cs="楷体"/>
          <w:color w:val="000000"/>
        </w:rPr>
        <w:t>——摘编自刘泽华主编《中国政治思想通史》</w:t>
      </w:r>
    </w:p>
    <w:p w14:paraId="118990D3">
      <w:pPr>
        <w:spacing w:line="360" w:lineRule="auto"/>
        <w:jc w:val="left"/>
        <w:textAlignment w:val="center"/>
        <w:rPr>
          <w:color w:val="000000"/>
        </w:rPr>
      </w:pPr>
      <w:r>
        <w:rPr>
          <w:color w:val="000000"/>
        </w:rPr>
        <w:t>（1）</w:t>
      </w:r>
      <w:r>
        <w:rPr>
          <w:rFonts w:ascii="宋体" w:hAnsi="宋体" w:eastAsia="宋体" w:cs="宋体"/>
          <w:color w:val="000000"/>
        </w:rPr>
        <w:t>大聪的讲述，会让小敏对“鸦片战争”形成怎样的认识</w:t>
      </w:r>
      <w:r>
        <w:rPr>
          <w:rFonts w:ascii="Times New Roman" w:hAnsi="Times New Roman" w:eastAsia="Times New Roman" w:cs="Times New Roman"/>
          <w:color w:val="000000"/>
        </w:rPr>
        <w:t>?</w:t>
      </w:r>
    </w:p>
    <w:p w14:paraId="4EBBFE8C">
      <w:pPr>
        <w:spacing w:line="360" w:lineRule="auto"/>
        <w:jc w:val="left"/>
        <w:textAlignment w:val="center"/>
        <w:rPr>
          <w:color w:val="000000"/>
        </w:rPr>
      </w:pPr>
      <w:r>
        <w:rPr>
          <w:color w:val="000000"/>
        </w:rPr>
        <w:t>（2）</w:t>
      </w:r>
      <w:r>
        <w:rPr>
          <w:rFonts w:ascii="宋体" w:hAnsi="宋体" w:eastAsia="宋体" w:cs="宋体"/>
          <w:color w:val="000000"/>
        </w:rPr>
        <w:t>你认为应如何书写“鸦片战争”</w:t>
      </w:r>
      <w:r>
        <w:rPr>
          <w:rFonts w:ascii="Times New Roman" w:hAnsi="Times New Roman" w:eastAsia="Times New Roman" w:cs="Times New Roman"/>
          <w:color w:val="000000"/>
        </w:rPr>
        <w:t>?</w:t>
      </w:r>
      <w:r>
        <w:rPr>
          <w:rFonts w:ascii="宋体" w:hAnsi="宋体" w:eastAsia="宋体" w:cs="宋体"/>
          <w:color w:val="000000"/>
        </w:rPr>
        <w:t>说明理由。</w:t>
      </w:r>
    </w:p>
    <w:p w14:paraId="7E11045D">
      <w:pPr>
        <w:spacing w:line="360" w:lineRule="auto"/>
        <w:jc w:val="left"/>
        <w:textAlignment w:val="center"/>
        <w:rPr>
          <w:color w:val="000000"/>
        </w:rPr>
      </w:pPr>
      <w:r>
        <w:rPr>
          <w:color w:val="000000"/>
        </w:rPr>
        <w:t xml:space="preserve">18. </w:t>
      </w:r>
      <w:r>
        <w:rPr>
          <w:rFonts w:ascii="宋体" w:hAnsi="宋体" w:eastAsia="宋体" w:cs="宋体"/>
          <w:color w:val="000000"/>
        </w:rPr>
        <w:t>阅读材料，回答问题。</w:t>
      </w:r>
    </w:p>
    <w:p w14:paraId="7C8410E6">
      <w:pPr>
        <w:spacing w:line="360" w:lineRule="auto"/>
        <w:jc w:val="center"/>
        <w:textAlignment w:val="center"/>
        <w:rPr>
          <w:color w:val="000000"/>
        </w:rPr>
      </w:pPr>
      <w:r>
        <w:rPr>
          <w:rFonts w:ascii="楷体" w:hAnsi="楷体" w:eastAsia="楷体" w:cs="楷体"/>
          <w:color w:val="000000"/>
        </w:rPr>
        <w:t>数字里的上海</w:t>
      </w:r>
    </w:p>
    <w:p w14:paraId="51767EE0">
      <w:pPr>
        <w:spacing w:line="360" w:lineRule="auto"/>
        <w:ind w:firstLine="420"/>
        <w:jc w:val="left"/>
        <w:textAlignment w:val="center"/>
        <w:rPr>
          <w:color w:val="000000"/>
        </w:rPr>
      </w:pPr>
      <w:r>
        <w:rPr>
          <w:rFonts w:ascii="楷体" w:hAnsi="楷体" w:eastAsia="楷体" w:cs="楷体"/>
          <w:color w:val="000000"/>
        </w:rPr>
        <w:t>材料一</w:t>
      </w:r>
    </w:p>
    <w:p w14:paraId="36ED8FA0">
      <w:pPr>
        <w:spacing w:line="360" w:lineRule="auto"/>
        <w:jc w:val="left"/>
        <w:textAlignment w:val="center"/>
        <w:rPr>
          <w:color w:val="000000"/>
        </w:rPr>
      </w:pPr>
      <w:r>
        <w:rPr>
          <w:color w:val="000000"/>
        </w:rPr>
        <w:drawing>
          <wp:inline distT="0" distB="0" distL="114300" distR="114300">
            <wp:extent cx="2447925" cy="1781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447925" cy="1781175"/>
                    </a:xfrm>
                    <a:prstGeom prst="rect">
                      <a:avLst/>
                    </a:prstGeom>
                  </pic:spPr>
                </pic:pic>
              </a:graphicData>
            </a:graphic>
          </wp:inline>
        </w:drawing>
      </w:r>
    </w:p>
    <w:p w14:paraId="4F58F152">
      <w:pPr>
        <w:spacing w:line="360" w:lineRule="auto"/>
        <w:jc w:val="left"/>
        <w:textAlignment w:val="center"/>
        <w:rPr>
          <w:color w:val="000000"/>
        </w:rPr>
      </w:pPr>
      <w:r>
        <w:rPr>
          <w:rFonts w:ascii="楷体" w:hAnsi="楷体" w:eastAsia="楷体" w:cs="楷体"/>
          <w:color w:val="000000"/>
        </w:rPr>
        <w:t>1945—1947年上海工业分行业资本占比情况</w:t>
      </w:r>
    </w:p>
    <w:p w14:paraId="36346559">
      <w:pPr>
        <w:spacing w:line="360" w:lineRule="auto"/>
        <w:ind w:firstLine="420"/>
        <w:jc w:val="left"/>
        <w:textAlignment w:val="center"/>
        <w:rPr>
          <w:color w:val="000000"/>
        </w:rPr>
      </w:pPr>
      <w:r>
        <w:rPr>
          <w:rFonts w:ascii="楷体" w:hAnsi="楷体" w:eastAsia="楷体" w:cs="楷体"/>
          <w:color w:val="000000"/>
        </w:rPr>
        <w:t>1947年，上海有工厂7738家、工人367433人，分别占全国12个主要城市工厂、工人总数的60%、61%。上海解放前夕，外国资本控制了全市90%以上的电力供应，73%的自来水供应，97%的煤气供应，100%的电话和电车经营。官僚资本企业拥有的炼钢炉占全市总数的85.7%，钢产量占89.3%；拥有的纱锭和布机分别占全市总数的38．5%和59.2%</w:t>
      </w:r>
    </w:p>
    <w:p w14:paraId="44B80B72">
      <w:pPr>
        <w:spacing w:line="360" w:lineRule="auto"/>
        <w:ind w:firstLine="420"/>
        <w:jc w:val="right"/>
        <w:textAlignment w:val="center"/>
        <w:rPr>
          <w:color w:val="000000"/>
        </w:rPr>
      </w:pPr>
      <w:r>
        <w:rPr>
          <w:rFonts w:ascii="楷体" w:hAnsi="楷体" w:eastAsia="楷体" w:cs="楷体"/>
          <w:color w:val="000000"/>
        </w:rPr>
        <w:t>——摘编自严中平等编《中国近代经济史统计资料选辑》等</w:t>
      </w:r>
    </w:p>
    <w:p w14:paraId="221CBAF2">
      <w:pPr>
        <w:spacing w:line="360" w:lineRule="auto"/>
        <w:ind w:firstLine="420"/>
        <w:jc w:val="left"/>
        <w:textAlignment w:val="center"/>
        <w:rPr>
          <w:color w:val="000000"/>
        </w:rPr>
      </w:pPr>
      <w:r>
        <w:rPr>
          <w:rFonts w:ascii="楷体" w:hAnsi="楷体" w:eastAsia="楷体" w:cs="楷体"/>
          <w:color w:val="000000"/>
        </w:rPr>
        <w:t>材料二</w:t>
      </w:r>
    </w:p>
    <w:p w14:paraId="1B98F56C">
      <w:pPr>
        <w:spacing w:line="360" w:lineRule="auto"/>
        <w:jc w:val="left"/>
        <w:textAlignment w:val="center"/>
        <w:rPr>
          <w:color w:val="000000"/>
        </w:rPr>
      </w:pPr>
      <w:r>
        <w:rPr>
          <w:color w:val="000000"/>
        </w:rPr>
        <w:drawing>
          <wp:inline distT="0" distB="0" distL="114300" distR="114300">
            <wp:extent cx="2590800" cy="19716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590800" cy="1971675"/>
                    </a:xfrm>
                    <a:prstGeom prst="rect">
                      <a:avLst/>
                    </a:prstGeom>
                  </pic:spPr>
                </pic:pic>
              </a:graphicData>
            </a:graphic>
          </wp:inline>
        </w:drawing>
      </w:r>
    </w:p>
    <w:p w14:paraId="352C42E3">
      <w:pPr>
        <w:spacing w:line="360" w:lineRule="auto"/>
        <w:jc w:val="left"/>
        <w:textAlignment w:val="center"/>
        <w:rPr>
          <w:color w:val="000000"/>
        </w:rPr>
      </w:pPr>
      <w:r>
        <w:rPr>
          <w:rFonts w:ascii="楷体" w:hAnsi="楷体" w:eastAsia="楷体" w:cs="楷体"/>
          <w:color w:val="000000"/>
        </w:rPr>
        <w:t>1949—1957年上海轻、重工业产值和占比变化情况</w:t>
      </w:r>
    </w:p>
    <w:p w14:paraId="0285635D">
      <w:pPr>
        <w:spacing w:line="360" w:lineRule="auto"/>
        <w:ind w:firstLine="420"/>
        <w:jc w:val="left"/>
        <w:textAlignment w:val="center"/>
        <w:rPr>
          <w:color w:val="000000"/>
        </w:rPr>
      </w:pPr>
      <w:r>
        <w:rPr>
          <w:rFonts w:ascii="楷体" w:hAnsi="楷体" w:eastAsia="楷体" w:cs="楷体"/>
          <w:color w:val="000000"/>
        </w:rPr>
        <w:t>新中国成立初期，上海的工业品绝大部分供应全国，不少工厂为国家重点建设的156个项目生产配套设备。1953—1957年，上海共有272家轻纺类工厂内迁。整个五十年代，上海支援各地的机器设备计有6000多台。1956年，上海进行了第一次工业大改组，全市2万多个工厂分行业成立了83个行政性专业工业公司</w:t>
      </w:r>
    </w:p>
    <w:p w14:paraId="77C10C9B">
      <w:pPr>
        <w:spacing w:line="360" w:lineRule="auto"/>
        <w:ind w:firstLine="420"/>
        <w:jc w:val="right"/>
        <w:textAlignment w:val="center"/>
        <w:rPr>
          <w:color w:val="000000"/>
        </w:rPr>
      </w:pPr>
      <w:r>
        <w:rPr>
          <w:rFonts w:ascii="楷体" w:hAnsi="楷体" w:eastAsia="楷体" w:cs="楷体"/>
          <w:color w:val="000000"/>
        </w:rPr>
        <w:t>——摘编自《上海统计年鉴》等</w:t>
      </w:r>
    </w:p>
    <w:p w14:paraId="62B72734">
      <w:pPr>
        <w:spacing w:line="360" w:lineRule="auto"/>
        <w:jc w:val="left"/>
        <w:textAlignment w:val="center"/>
        <w:rPr>
          <w:color w:val="000000"/>
        </w:rPr>
      </w:pPr>
      <w:r>
        <w:rPr>
          <w:rFonts w:ascii="宋体" w:hAnsi="宋体" w:eastAsia="宋体" w:cs="宋体"/>
          <w:color w:val="000000"/>
        </w:rPr>
        <w:t>提取材料信息，以“上海·缩影”为题写一则历史短文。（要求：表述成文，叙述完整；立论正确，史论结合；逻辑严密，条理清晰。）</w:t>
      </w:r>
    </w:p>
    <w:p w14:paraId="71409A13">
      <w:pPr>
        <w:spacing w:line="360" w:lineRule="auto"/>
        <w:jc w:val="left"/>
        <w:textAlignment w:val="center"/>
        <w:rPr>
          <w:color w:val="000000"/>
        </w:rPr>
      </w:pPr>
      <w:r>
        <w:rPr>
          <w:color w:val="000000"/>
        </w:rPr>
        <w:t xml:space="preserve">19. </w:t>
      </w:r>
      <w:r>
        <w:rPr>
          <w:rFonts w:ascii="宋体" w:hAnsi="宋体" w:eastAsia="宋体" w:cs="宋体"/>
          <w:color w:val="000000"/>
        </w:rPr>
        <w:t>阅读材料，回答问题。</w:t>
      </w:r>
    </w:p>
    <w:p w14:paraId="0532F3BA">
      <w:pPr>
        <w:spacing w:line="360" w:lineRule="auto"/>
        <w:ind w:firstLine="420"/>
        <w:jc w:val="center"/>
        <w:textAlignment w:val="center"/>
        <w:rPr>
          <w:color w:val="000000"/>
        </w:rPr>
      </w:pPr>
      <w:r>
        <w:rPr>
          <w:rFonts w:ascii="楷体" w:hAnsi="楷体" w:eastAsia="楷体" w:cs="楷体"/>
          <w:color w:val="000000"/>
        </w:rPr>
        <w:t>非洲的“解放”</w:t>
      </w:r>
    </w:p>
    <w:p w14:paraId="28AA210C">
      <w:pPr>
        <w:spacing w:line="360" w:lineRule="auto"/>
        <w:ind w:firstLine="420"/>
        <w:jc w:val="left"/>
        <w:textAlignment w:val="center"/>
        <w:rPr>
          <w:color w:val="000000"/>
        </w:rPr>
      </w:pPr>
      <w:r>
        <w:rPr>
          <w:rFonts w:ascii="楷体" w:hAnsi="楷体" w:eastAsia="楷体" w:cs="楷体"/>
          <w:color w:val="000000"/>
        </w:rPr>
        <w:t>材料一  下表是1960—1980年部分非洲国家主要商品出口情况统计。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290"/>
        <w:gridCol w:w="1080"/>
        <w:gridCol w:w="923"/>
        <w:gridCol w:w="923"/>
        <w:gridCol w:w="923"/>
      </w:tblGrid>
      <w:tr w14:paraId="3025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374291">
            <w:pPr>
              <w:spacing w:line="360" w:lineRule="auto"/>
              <w:jc w:val="both"/>
              <w:textAlignment w:val="center"/>
              <w:rPr>
                <w:color w:val="000000"/>
              </w:rPr>
            </w:pPr>
            <w:r>
              <w:rPr>
                <w:rFonts w:ascii="楷体" w:hAnsi="楷体" w:eastAsia="楷体" w:cs="楷体"/>
                <w:color w:val="000000"/>
              </w:rPr>
              <w:t>区域</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B5378">
            <w:pPr>
              <w:spacing w:line="360" w:lineRule="auto"/>
              <w:jc w:val="both"/>
              <w:textAlignment w:val="center"/>
              <w:rPr>
                <w:color w:val="000000"/>
              </w:rPr>
            </w:pPr>
            <w:r>
              <w:rPr>
                <w:rFonts w:ascii="楷体" w:hAnsi="楷体" w:eastAsia="楷体" w:cs="楷体"/>
                <w:color w:val="000000"/>
              </w:rPr>
              <w:t>国别</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5A64D">
            <w:pPr>
              <w:spacing w:line="360" w:lineRule="auto"/>
              <w:jc w:val="both"/>
              <w:textAlignment w:val="center"/>
              <w:rPr>
                <w:color w:val="000000"/>
              </w:rPr>
            </w:pPr>
            <w:r>
              <w:rPr>
                <w:rFonts w:ascii="楷体" w:hAnsi="楷体" w:eastAsia="楷体" w:cs="楷体"/>
                <w:color w:val="000000"/>
              </w:rPr>
              <w:t>主要商品</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F6B6DB">
            <w:pPr>
              <w:spacing w:line="360" w:lineRule="auto"/>
              <w:jc w:val="left"/>
              <w:textAlignment w:val="center"/>
              <w:rPr>
                <w:color w:val="000000"/>
              </w:rPr>
            </w:pPr>
            <w:r>
              <w:rPr>
                <w:rFonts w:ascii="楷体" w:hAnsi="楷体" w:eastAsia="楷体" w:cs="楷体"/>
                <w:color w:val="000000"/>
              </w:rPr>
              <w:t>在出口总值中的占比（%）</w:t>
            </w:r>
          </w:p>
        </w:tc>
      </w:tr>
      <w:tr w14:paraId="25FE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4E5F34A2">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2DC04EE0">
            <w:pPr>
              <w:spacing w:line="360" w:lineRule="auto"/>
              <w:ind w:firstLine="420"/>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0D479BFB">
            <w:pPr>
              <w:spacing w:line="360" w:lineRule="auto"/>
              <w:ind w:firstLine="420"/>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E6AB20">
            <w:pPr>
              <w:spacing w:line="360" w:lineRule="auto"/>
              <w:jc w:val="left"/>
              <w:textAlignment w:val="center"/>
              <w:rPr>
                <w:color w:val="000000"/>
              </w:rPr>
            </w:pPr>
            <w:r>
              <w:rPr>
                <w:rFonts w:ascii="楷体" w:hAnsi="楷体" w:eastAsia="楷体" w:cs="楷体"/>
                <w:color w:val="000000"/>
              </w:rPr>
              <w:t>1960年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70F6D">
            <w:pPr>
              <w:spacing w:line="360" w:lineRule="auto"/>
              <w:jc w:val="both"/>
              <w:textAlignment w:val="center"/>
              <w:rPr>
                <w:color w:val="000000"/>
              </w:rPr>
            </w:pPr>
            <w:r>
              <w:rPr>
                <w:rFonts w:ascii="楷体" w:hAnsi="楷体" w:eastAsia="楷体" w:cs="楷体"/>
                <w:color w:val="000000"/>
              </w:rPr>
              <w:t>1970年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0B717">
            <w:pPr>
              <w:spacing w:line="360" w:lineRule="auto"/>
              <w:jc w:val="both"/>
              <w:textAlignment w:val="center"/>
              <w:rPr>
                <w:color w:val="000000"/>
              </w:rPr>
            </w:pPr>
            <w:r>
              <w:rPr>
                <w:rFonts w:ascii="楷体" w:hAnsi="楷体" w:eastAsia="楷体" w:cs="楷体"/>
                <w:color w:val="000000"/>
              </w:rPr>
              <w:t>1980年</w:t>
            </w:r>
          </w:p>
        </w:tc>
      </w:tr>
      <w:tr w14:paraId="17BC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B3386B">
            <w:pPr>
              <w:spacing w:line="360" w:lineRule="auto"/>
              <w:jc w:val="both"/>
              <w:textAlignment w:val="center"/>
              <w:rPr>
                <w:color w:val="000000"/>
              </w:rPr>
            </w:pPr>
            <w:r>
              <w:rPr>
                <w:rFonts w:ascii="楷体" w:hAnsi="楷体" w:eastAsia="楷体" w:cs="楷体"/>
                <w:color w:val="000000"/>
              </w:rPr>
              <w:t>北部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4DF01">
            <w:pPr>
              <w:spacing w:line="360" w:lineRule="auto"/>
              <w:jc w:val="both"/>
              <w:textAlignment w:val="center"/>
              <w:rPr>
                <w:color w:val="000000"/>
              </w:rPr>
            </w:pPr>
            <w:r>
              <w:rPr>
                <w:rFonts w:ascii="楷体" w:hAnsi="楷体" w:eastAsia="楷体" w:cs="楷体"/>
                <w:color w:val="000000"/>
              </w:rPr>
              <w:t>埃及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FB6E1">
            <w:pPr>
              <w:spacing w:line="360" w:lineRule="auto"/>
              <w:jc w:val="both"/>
              <w:textAlignment w:val="center"/>
              <w:rPr>
                <w:color w:val="000000"/>
              </w:rPr>
            </w:pPr>
            <w:r>
              <w:rPr>
                <w:rFonts w:ascii="楷体" w:hAnsi="楷体" w:eastAsia="楷体" w:cs="楷体"/>
                <w:color w:val="000000"/>
              </w:rPr>
              <w:t>石油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51E12F">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23A652">
            <w:pPr>
              <w:spacing w:line="360" w:lineRule="auto"/>
              <w:jc w:val="both"/>
              <w:textAlignment w:val="center"/>
              <w:rPr>
                <w:color w:val="000000"/>
              </w:rPr>
            </w:pPr>
            <w:r>
              <w:rPr>
                <w:rFonts w:ascii="楷体" w:hAnsi="楷体" w:eastAsia="楷体" w:cs="楷体"/>
                <w:color w:val="000000"/>
              </w:rPr>
              <w:t>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8F88B1">
            <w:pPr>
              <w:spacing w:line="360" w:lineRule="auto"/>
              <w:jc w:val="both"/>
              <w:textAlignment w:val="center"/>
              <w:rPr>
                <w:color w:val="000000"/>
              </w:rPr>
            </w:pPr>
            <w:r>
              <w:rPr>
                <w:rFonts w:ascii="楷体" w:hAnsi="楷体" w:eastAsia="楷体" w:cs="楷体"/>
                <w:color w:val="000000"/>
              </w:rPr>
              <w:t>57.8</w:t>
            </w:r>
          </w:p>
        </w:tc>
      </w:tr>
      <w:tr w14:paraId="354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D7E87">
            <w:pPr>
              <w:spacing w:line="360" w:lineRule="auto"/>
              <w:jc w:val="both"/>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E674C">
            <w:pPr>
              <w:spacing w:line="360" w:lineRule="auto"/>
              <w:jc w:val="both"/>
              <w:textAlignment w:val="center"/>
              <w:rPr>
                <w:color w:val="000000"/>
              </w:rPr>
            </w:pPr>
            <w:r>
              <w:rPr>
                <w:rFonts w:ascii="楷体" w:hAnsi="楷体" w:eastAsia="楷体" w:cs="楷体"/>
                <w:color w:val="000000"/>
              </w:rPr>
              <w:t>阿尔及利亚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197F2">
            <w:pPr>
              <w:spacing w:line="360" w:lineRule="auto"/>
              <w:jc w:val="both"/>
              <w:textAlignment w:val="center"/>
              <w:rPr>
                <w:color w:val="000000"/>
              </w:rPr>
            </w:pPr>
            <w:r>
              <w:rPr>
                <w:rFonts w:ascii="楷体" w:hAnsi="楷体" w:eastAsia="楷体" w:cs="楷体"/>
                <w:color w:val="000000"/>
              </w:rPr>
              <w:t>石油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47E688">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252AFC">
            <w:pPr>
              <w:spacing w:line="360" w:lineRule="auto"/>
              <w:jc w:val="both"/>
              <w:textAlignment w:val="center"/>
              <w:rPr>
                <w:color w:val="000000"/>
              </w:rPr>
            </w:pPr>
            <w:r>
              <w:rPr>
                <w:rFonts w:ascii="楷体" w:hAnsi="楷体" w:eastAsia="楷体" w:cs="楷体"/>
                <w:color w:val="000000"/>
              </w:rPr>
              <w:t>67.5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B5E63">
            <w:pPr>
              <w:spacing w:line="360" w:lineRule="auto"/>
              <w:jc w:val="both"/>
              <w:textAlignment w:val="center"/>
              <w:rPr>
                <w:color w:val="000000"/>
              </w:rPr>
            </w:pPr>
            <w:r>
              <w:rPr>
                <w:rFonts w:ascii="楷体" w:hAnsi="楷体" w:eastAsia="楷体" w:cs="楷体"/>
                <w:color w:val="000000"/>
              </w:rPr>
              <w:t>91.6</w:t>
            </w:r>
          </w:p>
        </w:tc>
      </w:tr>
      <w:tr w14:paraId="38489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07E1B">
            <w:pPr>
              <w:spacing w:line="360" w:lineRule="auto"/>
              <w:jc w:val="both"/>
              <w:textAlignment w:val="center"/>
              <w:rPr>
                <w:color w:val="000000"/>
              </w:rPr>
            </w:pPr>
            <w:r>
              <w:rPr>
                <w:rFonts w:ascii="楷体" w:hAnsi="楷体" w:eastAsia="楷体" w:cs="楷体"/>
                <w:color w:val="000000"/>
              </w:rPr>
              <w:t>东部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96798">
            <w:pPr>
              <w:spacing w:line="360" w:lineRule="auto"/>
              <w:jc w:val="both"/>
              <w:textAlignment w:val="center"/>
              <w:rPr>
                <w:color w:val="000000"/>
              </w:rPr>
            </w:pPr>
            <w:r>
              <w:rPr>
                <w:rFonts w:ascii="楷体" w:hAnsi="楷体" w:eastAsia="楷体" w:cs="楷体"/>
                <w:color w:val="000000"/>
              </w:rPr>
              <w:t>埃塞俄比亚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42534">
            <w:pPr>
              <w:spacing w:line="360" w:lineRule="auto"/>
              <w:jc w:val="both"/>
              <w:textAlignment w:val="center"/>
              <w:rPr>
                <w:color w:val="000000"/>
              </w:rPr>
            </w:pPr>
            <w:r>
              <w:rPr>
                <w:rFonts w:ascii="楷体" w:hAnsi="楷体" w:eastAsia="楷体" w:cs="楷体"/>
                <w:color w:val="000000"/>
              </w:rPr>
              <w:t>咖啡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0AB5B">
            <w:pPr>
              <w:spacing w:line="360" w:lineRule="auto"/>
              <w:jc w:val="both"/>
              <w:textAlignment w:val="center"/>
              <w:rPr>
                <w:color w:val="000000"/>
              </w:rPr>
            </w:pPr>
            <w:r>
              <w:rPr>
                <w:rFonts w:ascii="楷体" w:hAnsi="楷体" w:eastAsia="楷体" w:cs="楷体"/>
                <w:color w:val="000000"/>
              </w:rPr>
              <w:t>49.0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B67D3">
            <w:pPr>
              <w:spacing w:line="360" w:lineRule="auto"/>
              <w:jc w:val="both"/>
              <w:textAlignment w:val="center"/>
              <w:rPr>
                <w:color w:val="000000"/>
              </w:rPr>
            </w:pPr>
            <w:r>
              <w:rPr>
                <w:rFonts w:ascii="楷体" w:hAnsi="楷体" w:eastAsia="楷体" w:cs="楷体"/>
                <w:color w:val="000000"/>
              </w:rPr>
              <w:t>59.3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7CEBD">
            <w:pPr>
              <w:spacing w:line="360" w:lineRule="auto"/>
              <w:jc w:val="both"/>
              <w:textAlignment w:val="center"/>
              <w:rPr>
                <w:color w:val="000000"/>
              </w:rPr>
            </w:pPr>
            <w:r>
              <w:rPr>
                <w:rFonts w:ascii="楷体" w:hAnsi="楷体" w:eastAsia="楷体" w:cs="楷体"/>
                <w:color w:val="000000"/>
              </w:rPr>
              <w:t>64.1</w:t>
            </w:r>
          </w:p>
        </w:tc>
      </w:tr>
      <w:tr w14:paraId="49ACF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496F9F">
            <w:pPr>
              <w:spacing w:line="360" w:lineRule="auto"/>
              <w:jc w:val="both"/>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CC559">
            <w:pPr>
              <w:spacing w:line="360" w:lineRule="auto"/>
              <w:jc w:val="both"/>
              <w:textAlignment w:val="center"/>
              <w:rPr>
                <w:color w:val="000000"/>
              </w:rPr>
            </w:pPr>
            <w:r>
              <w:rPr>
                <w:rFonts w:ascii="楷体" w:hAnsi="楷体" w:eastAsia="楷体" w:cs="楷体"/>
                <w:color w:val="000000"/>
              </w:rPr>
              <w:t>乌干达</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C09EF">
            <w:pPr>
              <w:spacing w:line="360" w:lineRule="auto"/>
              <w:jc w:val="both"/>
              <w:textAlignment w:val="center"/>
              <w:rPr>
                <w:color w:val="000000"/>
              </w:rPr>
            </w:pPr>
            <w:r>
              <w:rPr>
                <w:rFonts w:ascii="楷体" w:hAnsi="楷体" w:eastAsia="楷体" w:cs="楷体"/>
                <w:color w:val="000000"/>
              </w:rPr>
              <w:t>咖啡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0EE3E">
            <w:pPr>
              <w:spacing w:line="360" w:lineRule="auto"/>
              <w:jc w:val="both"/>
              <w:textAlignment w:val="center"/>
              <w:rPr>
                <w:color w:val="000000"/>
              </w:rPr>
            </w:pPr>
            <w:r>
              <w:rPr>
                <w:rFonts w:ascii="楷体" w:hAnsi="楷体" w:eastAsia="楷体" w:cs="楷体"/>
                <w:color w:val="000000"/>
              </w:rPr>
              <w:t>36.9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6F9D2">
            <w:pPr>
              <w:spacing w:line="360" w:lineRule="auto"/>
              <w:jc w:val="both"/>
              <w:textAlignment w:val="center"/>
              <w:rPr>
                <w:color w:val="000000"/>
              </w:rPr>
            </w:pPr>
            <w:r>
              <w:rPr>
                <w:rFonts w:ascii="楷体" w:hAnsi="楷体" w:eastAsia="楷体" w:cs="楷体"/>
                <w:color w:val="000000"/>
              </w:rPr>
              <w:t>50.4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CBF3D">
            <w:pPr>
              <w:spacing w:line="360" w:lineRule="auto"/>
              <w:jc w:val="both"/>
              <w:textAlignment w:val="center"/>
              <w:rPr>
                <w:color w:val="000000"/>
              </w:rPr>
            </w:pPr>
            <w:r>
              <w:rPr>
                <w:rFonts w:ascii="楷体" w:hAnsi="楷体" w:eastAsia="楷体" w:cs="楷体"/>
                <w:color w:val="000000"/>
              </w:rPr>
              <w:t>98.7</w:t>
            </w:r>
          </w:p>
        </w:tc>
      </w:tr>
      <w:tr w14:paraId="74F1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52B38">
            <w:pPr>
              <w:spacing w:line="360" w:lineRule="auto"/>
              <w:jc w:val="both"/>
              <w:textAlignment w:val="center"/>
              <w:rPr>
                <w:color w:val="000000"/>
              </w:rPr>
            </w:pPr>
            <w:r>
              <w:rPr>
                <w:rFonts w:ascii="楷体" w:hAnsi="楷体" w:eastAsia="楷体" w:cs="楷体"/>
                <w:color w:val="000000"/>
              </w:rPr>
              <w:t>西部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95267">
            <w:pPr>
              <w:spacing w:line="360" w:lineRule="auto"/>
              <w:jc w:val="both"/>
              <w:textAlignment w:val="center"/>
              <w:rPr>
                <w:color w:val="000000"/>
              </w:rPr>
            </w:pPr>
            <w:r>
              <w:rPr>
                <w:rFonts w:ascii="楷体" w:hAnsi="楷体" w:eastAsia="楷体" w:cs="楷体"/>
                <w:color w:val="000000"/>
              </w:rPr>
              <w:t>尼日利亚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055AE">
            <w:pPr>
              <w:spacing w:line="360" w:lineRule="auto"/>
              <w:jc w:val="both"/>
              <w:textAlignment w:val="center"/>
              <w:rPr>
                <w:color w:val="000000"/>
              </w:rPr>
            </w:pPr>
            <w:r>
              <w:rPr>
                <w:rFonts w:ascii="楷体" w:hAnsi="楷体" w:eastAsia="楷体" w:cs="楷体"/>
                <w:color w:val="000000"/>
              </w:rPr>
              <w:t>石油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CEEA85">
            <w:pPr>
              <w:spacing w:line="360" w:lineRule="auto"/>
              <w:jc w:val="both"/>
              <w:textAlignment w:val="center"/>
              <w:rPr>
                <w:color w:val="000000"/>
              </w:rPr>
            </w:pPr>
            <w:r>
              <w:rPr>
                <w:rFonts w:ascii="楷体" w:hAnsi="楷体" w:eastAsia="楷体" w:cs="楷体"/>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556B4">
            <w:pPr>
              <w:spacing w:line="360" w:lineRule="auto"/>
              <w:jc w:val="both"/>
              <w:textAlignment w:val="center"/>
              <w:rPr>
                <w:color w:val="000000"/>
              </w:rPr>
            </w:pPr>
            <w:r>
              <w:rPr>
                <w:rFonts w:ascii="楷体" w:hAnsi="楷体" w:eastAsia="楷体" w:cs="楷体"/>
                <w:color w:val="000000"/>
              </w:rPr>
              <w:t>57.6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BED1B">
            <w:pPr>
              <w:spacing w:line="360" w:lineRule="auto"/>
              <w:jc w:val="both"/>
              <w:textAlignment w:val="center"/>
              <w:rPr>
                <w:color w:val="000000"/>
              </w:rPr>
            </w:pPr>
            <w:r>
              <w:rPr>
                <w:rFonts w:ascii="楷体" w:hAnsi="楷体" w:eastAsia="楷体" w:cs="楷体"/>
                <w:color w:val="000000"/>
              </w:rPr>
              <w:t>95.3</w:t>
            </w:r>
          </w:p>
        </w:tc>
      </w:tr>
      <w:tr w14:paraId="4DD2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C19933">
            <w:pPr>
              <w:spacing w:line="360" w:lineRule="auto"/>
              <w:jc w:val="both"/>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74553">
            <w:pPr>
              <w:spacing w:line="360" w:lineRule="auto"/>
              <w:jc w:val="both"/>
              <w:textAlignment w:val="center"/>
              <w:rPr>
                <w:color w:val="000000"/>
              </w:rPr>
            </w:pPr>
            <w:r>
              <w:rPr>
                <w:rFonts w:ascii="楷体" w:hAnsi="楷体" w:eastAsia="楷体" w:cs="楷体"/>
                <w:color w:val="000000"/>
              </w:rPr>
              <w:t>利比里亚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30DF35">
            <w:pPr>
              <w:spacing w:line="360" w:lineRule="auto"/>
              <w:jc w:val="both"/>
              <w:textAlignment w:val="center"/>
              <w:rPr>
                <w:color w:val="000000"/>
              </w:rPr>
            </w:pPr>
            <w:r>
              <w:rPr>
                <w:rFonts w:ascii="楷体" w:hAnsi="楷体" w:eastAsia="楷体" w:cs="楷体"/>
                <w:color w:val="000000"/>
              </w:rPr>
              <w:t>铁矿砂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9059C5">
            <w:pPr>
              <w:spacing w:line="360" w:lineRule="auto"/>
              <w:jc w:val="both"/>
              <w:textAlignment w:val="center"/>
              <w:rPr>
                <w:color w:val="000000"/>
              </w:rPr>
            </w:pPr>
            <w:r>
              <w:rPr>
                <w:rFonts w:ascii="楷体" w:hAnsi="楷体" w:eastAsia="楷体" w:cs="楷体"/>
                <w:color w:val="000000"/>
              </w:rPr>
              <w:t>41.9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1B806">
            <w:pPr>
              <w:spacing w:line="360" w:lineRule="auto"/>
              <w:jc w:val="both"/>
              <w:textAlignment w:val="center"/>
              <w:rPr>
                <w:color w:val="000000"/>
              </w:rPr>
            </w:pPr>
            <w:r>
              <w:rPr>
                <w:rFonts w:ascii="楷体" w:hAnsi="楷体" w:eastAsia="楷体" w:cs="楷体"/>
                <w:color w:val="000000"/>
              </w:rPr>
              <w:t>70.1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E3BCC">
            <w:pPr>
              <w:spacing w:line="360" w:lineRule="auto"/>
              <w:jc w:val="both"/>
              <w:textAlignment w:val="center"/>
              <w:rPr>
                <w:color w:val="000000"/>
              </w:rPr>
            </w:pPr>
            <w:r>
              <w:rPr>
                <w:rFonts w:ascii="楷体" w:hAnsi="楷体" w:eastAsia="楷体" w:cs="楷体"/>
                <w:color w:val="000000"/>
              </w:rPr>
              <w:t>52.7</w:t>
            </w:r>
          </w:p>
        </w:tc>
      </w:tr>
      <w:tr w14:paraId="3F73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084CF2">
            <w:pPr>
              <w:spacing w:line="360" w:lineRule="auto"/>
              <w:jc w:val="both"/>
              <w:textAlignment w:val="center"/>
              <w:rPr>
                <w:color w:val="000000"/>
              </w:rPr>
            </w:pPr>
            <w:r>
              <w:rPr>
                <w:rFonts w:ascii="楷体" w:hAnsi="楷体" w:eastAsia="楷体" w:cs="楷体"/>
                <w:color w:val="000000"/>
              </w:rPr>
              <w:t>中部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650AF">
            <w:pPr>
              <w:spacing w:line="360" w:lineRule="auto"/>
              <w:jc w:val="both"/>
              <w:textAlignment w:val="center"/>
              <w:rPr>
                <w:color w:val="000000"/>
              </w:rPr>
            </w:pPr>
            <w:r>
              <w:rPr>
                <w:rFonts w:ascii="楷体" w:hAnsi="楷体" w:eastAsia="楷体" w:cs="楷体"/>
                <w:color w:val="000000"/>
              </w:rPr>
              <w:t>加蓬</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E9B1">
            <w:pPr>
              <w:spacing w:line="360" w:lineRule="auto"/>
              <w:jc w:val="both"/>
              <w:textAlignment w:val="center"/>
              <w:rPr>
                <w:color w:val="000000"/>
              </w:rPr>
            </w:pPr>
            <w:r>
              <w:rPr>
                <w:rFonts w:ascii="楷体" w:hAnsi="楷体" w:eastAsia="楷体" w:cs="楷体"/>
                <w:color w:val="000000"/>
              </w:rPr>
              <w:t>石油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7AEBFC">
            <w:pPr>
              <w:spacing w:line="360" w:lineRule="auto"/>
              <w:jc w:val="both"/>
              <w:textAlignment w:val="center"/>
              <w:rPr>
                <w:color w:val="000000"/>
              </w:rPr>
            </w:pPr>
            <w:r>
              <w:rPr>
                <w:rFonts w:ascii="楷体" w:hAnsi="楷体" w:eastAsia="楷体" w:cs="楷体"/>
                <w:color w:val="000000"/>
              </w:rPr>
              <w:t>21.4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116CB">
            <w:pPr>
              <w:spacing w:line="360" w:lineRule="auto"/>
              <w:jc w:val="both"/>
              <w:textAlignment w:val="center"/>
              <w:rPr>
                <w:color w:val="000000"/>
              </w:rPr>
            </w:pPr>
            <w:r>
              <w:rPr>
                <w:rFonts w:ascii="楷体" w:hAnsi="楷体" w:eastAsia="楷体" w:cs="楷体"/>
                <w:color w:val="000000"/>
              </w:rPr>
              <w:t>34.3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0135A">
            <w:pPr>
              <w:spacing w:line="360" w:lineRule="auto"/>
              <w:jc w:val="both"/>
              <w:textAlignment w:val="center"/>
              <w:rPr>
                <w:color w:val="000000"/>
              </w:rPr>
            </w:pPr>
            <w:r>
              <w:rPr>
                <w:rFonts w:ascii="楷体" w:hAnsi="楷体" w:eastAsia="楷体" w:cs="楷体"/>
                <w:color w:val="000000"/>
              </w:rPr>
              <w:t>62.3</w:t>
            </w:r>
          </w:p>
        </w:tc>
      </w:tr>
      <w:tr w14:paraId="37536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4EF52">
            <w:pPr>
              <w:spacing w:line="360" w:lineRule="auto"/>
              <w:jc w:val="both"/>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77CA8">
            <w:pPr>
              <w:spacing w:line="360" w:lineRule="auto"/>
              <w:jc w:val="both"/>
              <w:textAlignment w:val="center"/>
              <w:rPr>
                <w:color w:val="000000"/>
              </w:rPr>
            </w:pPr>
            <w:r>
              <w:rPr>
                <w:rFonts w:ascii="楷体" w:hAnsi="楷体" w:eastAsia="楷体" w:cs="楷体"/>
                <w:color w:val="000000"/>
              </w:rPr>
              <w:t>刚果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92AF4">
            <w:pPr>
              <w:spacing w:line="360" w:lineRule="auto"/>
              <w:jc w:val="both"/>
              <w:textAlignment w:val="center"/>
              <w:rPr>
                <w:color w:val="000000"/>
              </w:rPr>
            </w:pPr>
            <w:r>
              <w:rPr>
                <w:rFonts w:ascii="楷体" w:hAnsi="楷体" w:eastAsia="楷体" w:cs="楷体"/>
                <w:color w:val="000000"/>
              </w:rPr>
              <w:t>石油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2FA9B">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E56B6">
            <w:pPr>
              <w:spacing w:line="360" w:lineRule="auto"/>
              <w:jc w:val="both"/>
              <w:textAlignment w:val="center"/>
              <w:rPr>
                <w:color w:val="000000"/>
              </w:rPr>
            </w:pPr>
            <w:r>
              <w:rPr>
                <w:rFonts w:ascii="楷体" w:hAnsi="楷体" w:eastAsia="楷体" w:cs="楷体"/>
                <w:color w:val="000000"/>
              </w:rPr>
              <w:t>10.5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02B8F">
            <w:pPr>
              <w:spacing w:line="360" w:lineRule="auto"/>
              <w:jc w:val="both"/>
              <w:textAlignment w:val="center"/>
              <w:rPr>
                <w:color w:val="000000"/>
              </w:rPr>
            </w:pPr>
            <w:r>
              <w:rPr>
                <w:rFonts w:ascii="楷体" w:hAnsi="楷体" w:eastAsia="楷体" w:cs="楷体"/>
                <w:color w:val="000000"/>
              </w:rPr>
              <w:t>77.9</w:t>
            </w:r>
          </w:p>
        </w:tc>
      </w:tr>
      <w:tr w14:paraId="51C11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29944">
            <w:pPr>
              <w:spacing w:line="360" w:lineRule="auto"/>
              <w:jc w:val="both"/>
              <w:textAlignment w:val="center"/>
              <w:rPr>
                <w:color w:val="000000"/>
              </w:rPr>
            </w:pPr>
            <w:r>
              <w:rPr>
                <w:rFonts w:ascii="楷体" w:hAnsi="楷体" w:eastAsia="楷体" w:cs="楷体"/>
                <w:color w:val="000000"/>
              </w:rPr>
              <w:t>南部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71E6B">
            <w:pPr>
              <w:spacing w:line="360" w:lineRule="auto"/>
              <w:jc w:val="both"/>
              <w:textAlignment w:val="center"/>
              <w:rPr>
                <w:color w:val="000000"/>
              </w:rPr>
            </w:pPr>
            <w:r>
              <w:rPr>
                <w:rFonts w:ascii="楷体" w:hAnsi="楷体" w:eastAsia="楷体" w:cs="楷体"/>
                <w:color w:val="000000"/>
              </w:rPr>
              <w:t>博茨瓦纳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94739">
            <w:pPr>
              <w:spacing w:line="360" w:lineRule="auto"/>
              <w:jc w:val="both"/>
              <w:textAlignment w:val="center"/>
              <w:rPr>
                <w:color w:val="000000"/>
              </w:rPr>
            </w:pPr>
            <w:r>
              <w:rPr>
                <w:rFonts w:ascii="楷体" w:hAnsi="楷体" w:eastAsia="楷体" w:cs="楷体"/>
                <w:color w:val="000000"/>
              </w:rPr>
              <w:t>钻石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7B216">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84DCD">
            <w:pPr>
              <w:spacing w:line="360" w:lineRule="auto"/>
              <w:jc w:val="both"/>
              <w:textAlignment w:val="center"/>
              <w:rPr>
                <w:color w:val="000000"/>
              </w:rPr>
            </w:pPr>
            <w:r>
              <w:rPr>
                <w:rFonts w:ascii="楷体" w:hAnsi="楷体" w:eastAsia="楷体" w:cs="楷体"/>
                <w:color w:val="000000"/>
              </w:rPr>
              <w:t>14.7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908DA">
            <w:pPr>
              <w:spacing w:line="360" w:lineRule="auto"/>
              <w:jc w:val="both"/>
              <w:textAlignment w:val="center"/>
              <w:rPr>
                <w:color w:val="000000"/>
              </w:rPr>
            </w:pPr>
            <w:r>
              <w:rPr>
                <w:rFonts w:ascii="楷体" w:hAnsi="楷体" w:eastAsia="楷体" w:cs="楷体"/>
                <w:color w:val="000000"/>
              </w:rPr>
              <w:t>60.8</w:t>
            </w:r>
          </w:p>
        </w:tc>
      </w:tr>
      <w:tr w14:paraId="4F1F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59632">
            <w:pPr>
              <w:spacing w:line="360" w:lineRule="auto"/>
              <w:jc w:val="both"/>
              <w:textAlignment w:val="center"/>
              <w:rPr>
                <w:color w:val="000000"/>
              </w:rPr>
            </w:pPr>
            <w:r>
              <w:rPr>
                <w:rFonts w:ascii="楷体" w:hAnsi="楷体" w:eastAsia="楷体" w:cs="楷体"/>
                <w:color w:val="000000"/>
              </w:rPr>
              <w:t>非洲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4089B">
            <w:pPr>
              <w:spacing w:line="360" w:lineRule="auto"/>
              <w:jc w:val="both"/>
              <w:textAlignment w:val="center"/>
              <w:rPr>
                <w:color w:val="000000"/>
              </w:rPr>
            </w:pPr>
            <w:r>
              <w:rPr>
                <w:rFonts w:ascii="楷体" w:hAnsi="楷体" w:eastAsia="楷体" w:cs="楷体"/>
                <w:color w:val="000000"/>
              </w:rPr>
              <w:t>赞比亚</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F55078">
            <w:pPr>
              <w:spacing w:line="360" w:lineRule="auto"/>
              <w:jc w:val="both"/>
              <w:textAlignment w:val="center"/>
              <w:rPr>
                <w:color w:val="000000"/>
              </w:rPr>
            </w:pPr>
            <w:r>
              <w:rPr>
                <w:rFonts w:ascii="楷体" w:hAnsi="楷体" w:eastAsia="楷体" w:cs="楷体"/>
                <w:color w:val="000000"/>
              </w:rPr>
              <w:t>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A81FBC">
            <w:pPr>
              <w:spacing w:line="360" w:lineRule="auto"/>
              <w:jc w:val="left"/>
              <w:textAlignment w:val="center"/>
              <w:rPr>
                <w:color w:val="000000"/>
              </w:rPr>
            </w:pPr>
            <w:r>
              <w:rPr>
                <w:rFonts w:ascii="楷体" w:hAnsi="楷体" w:eastAsia="楷体" w:cs="楷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0158B">
            <w:pPr>
              <w:spacing w:line="360" w:lineRule="auto"/>
              <w:jc w:val="both"/>
              <w:textAlignment w:val="center"/>
              <w:rPr>
                <w:color w:val="000000"/>
              </w:rPr>
            </w:pPr>
            <w:r>
              <w:rPr>
                <w:rFonts w:ascii="楷体" w:hAnsi="楷体" w:eastAsia="楷体" w:cs="楷体"/>
                <w:color w:val="000000"/>
              </w:rPr>
              <w:t>95.2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926B43">
            <w:pPr>
              <w:spacing w:line="360" w:lineRule="auto"/>
              <w:jc w:val="both"/>
              <w:textAlignment w:val="center"/>
              <w:rPr>
                <w:color w:val="000000"/>
              </w:rPr>
            </w:pPr>
            <w:r>
              <w:rPr>
                <w:rFonts w:ascii="楷体" w:hAnsi="楷体" w:eastAsia="楷体" w:cs="楷体"/>
                <w:color w:val="000000"/>
              </w:rPr>
              <w:t>91.3</w:t>
            </w:r>
          </w:p>
        </w:tc>
      </w:tr>
    </w:tbl>
    <w:p w14:paraId="0FADB2E5">
      <w:pPr>
        <w:spacing w:line="360" w:lineRule="auto"/>
        <w:ind w:firstLine="420"/>
        <w:jc w:val="right"/>
        <w:textAlignment w:val="center"/>
        <w:rPr>
          <w:color w:val="000000"/>
        </w:rPr>
      </w:pPr>
      <w:r>
        <w:rPr>
          <w:rFonts w:ascii="楷体" w:hAnsi="楷体" w:eastAsia="楷体" w:cs="楷体"/>
          <w:color w:val="000000"/>
        </w:rPr>
        <w:t>——摘编自[肯尼亚]A．A．马兹鲁伊主编《非洲通史》（第八卷）</w:t>
      </w:r>
    </w:p>
    <w:p w14:paraId="28F35DCC">
      <w:pPr>
        <w:spacing w:line="360" w:lineRule="auto"/>
        <w:ind w:firstLine="420"/>
        <w:jc w:val="left"/>
        <w:textAlignment w:val="center"/>
        <w:rPr>
          <w:color w:val="000000"/>
        </w:rPr>
      </w:pPr>
      <w:r>
        <w:rPr>
          <w:rFonts w:ascii="楷体" w:hAnsi="楷体" w:eastAsia="楷体" w:cs="楷体"/>
          <w:color w:val="000000"/>
        </w:rPr>
        <w:t>材料二  1962—1995年，法国在非洲总共进行了19次军事行动。与非洲法语区国家共签订了23个军事合作协定。法国军队在其中六个国家执行“提高影响力的任务”：喀麦隆（10人）、吉布提（3500人）、加蓬（610人）、科特迪瓦（580人）、中非共和国（1500人）、塞内加尔（1300人）。</w:t>
      </w:r>
    </w:p>
    <w:p w14:paraId="22CAD960">
      <w:pPr>
        <w:spacing w:line="360" w:lineRule="auto"/>
        <w:ind w:firstLine="420"/>
        <w:jc w:val="right"/>
        <w:textAlignment w:val="center"/>
        <w:rPr>
          <w:color w:val="000000"/>
        </w:rPr>
      </w:pPr>
      <w:r>
        <w:rPr>
          <w:rFonts w:ascii="楷体" w:hAnsi="楷体" w:eastAsia="楷体" w:cs="楷体"/>
          <w:color w:val="000000"/>
        </w:rPr>
        <w:t>——摘编自[法]多米尼克·马亚尔《从历史角度看法国在非洲的军事存在》</w:t>
      </w:r>
    </w:p>
    <w:p w14:paraId="0F04E1A3">
      <w:pPr>
        <w:spacing w:line="360" w:lineRule="auto"/>
        <w:ind w:firstLine="420"/>
        <w:jc w:val="left"/>
        <w:textAlignment w:val="center"/>
        <w:rPr>
          <w:color w:val="000000"/>
        </w:rPr>
      </w:pPr>
      <w:r>
        <w:rPr>
          <w:rFonts w:ascii="楷体" w:hAnsi="楷体" w:eastAsia="楷体" w:cs="楷体"/>
          <w:color w:val="000000"/>
        </w:rPr>
        <w:t>材料三</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
        <w:gridCol w:w="9519"/>
      </w:tblGrid>
      <w:tr w14:paraId="1157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511F7">
            <w:pPr>
              <w:spacing w:line="360" w:lineRule="auto"/>
              <w:ind w:firstLine="420"/>
              <w:jc w:val="left"/>
              <w:textAlignment w:val="center"/>
              <w:rPr>
                <w:color w:val="000000"/>
              </w:rPr>
            </w:pPr>
            <w:r>
              <w:rPr>
                <w:rFonts w:ascii="楷体" w:hAnsi="楷体" w:eastAsia="楷体" w:cs="楷体"/>
                <w:color w:val="000000"/>
              </w:rPr>
              <w:t>甲</w:t>
            </w: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24D288">
            <w:pPr>
              <w:spacing w:line="360" w:lineRule="auto"/>
              <w:ind w:firstLine="420"/>
              <w:jc w:val="left"/>
              <w:textAlignment w:val="center"/>
              <w:rPr>
                <w:color w:val="000000"/>
              </w:rPr>
            </w:pPr>
            <w:r>
              <w:rPr>
                <w:rFonts w:ascii="楷体" w:hAnsi="楷体" w:eastAsia="楷体" w:cs="楷体"/>
                <w:color w:val="000000"/>
              </w:rPr>
              <w:t>1963年10月，牛津大学教授休·特雷弗-罗珀在一次讲座中称：非洲新的统治者们所立足的都是欧洲创建的文明基础，是欧洲的技术、欧洲的榜样和欧洲的思想让非洲世界走出野蛮时代，与过去的传统分隔开来。非洲过去的历史，如果有意义的话，就在于它是欧洲的历史。</w:t>
            </w:r>
          </w:p>
          <w:p w14:paraId="47B15FBC">
            <w:pPr>
              <w:spacing w:line="360" w:lineRule="auto"/>
              <w:ind w:firstLine="420"/>
              <w:jc w:val="left"/>
              <w:textAlignment w:val="center"/>
              <w:rPr>
                <w:color w:val="000000"/>
              </w:rPr>
            </w:pPr>
          </w:p>
        </w:tc>
      </w:tr>
      <w:tr w14:paraId="2E24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670BA">
            <w:pPr>
              <w:spacing w:line="360" w:lineRule="auto"/>
              <w:ind w:firstLine="420"/>
              <w:jc w:val="left"/>
              <w:textAlignment w:val="center"/>
              <w:rPr>
                <w:color w:val="000000"/>
              </w:rPr>
            </w:pPr>
            <w:r>
              <w:rPr>
                <w:rFonts w:ascii="楷体" w:hAnsi="楷体" w:eastAsia="楷体" w:cs="楷体"/>
                <w:color w:val="000000"/>
              </w:rPr>
              <w:t>乙</w:t>
            </w:r>
          </w:p>
          <w:p w14:paraId="0603BFE9">
            <w:pPr>
              <w:spacing w:line="360" w:lineRule="auto"/>
              <w:ind w:firstLine="420"/>
              <w:jc w:val="left"/>
              <w:textAlignment w:val="center"/>
              <w:rPr>
                <w:color w:val="000000"/>
              </w:rPr>
            </w:pPr>
          </w:p>
        </w:tc>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D37DB">
            <w:pPr>
              <w:spacing w:line="360" w:lineRule="auto"/>
              <w:ind w:firstLine="420"/>
              <w:jc w:val="left"/>
              <w:textAlignment w:val="center"/>
              <w:rPr>
                <w:color w:val="000000"/>
              </w:rPr>
            </w:pPr>
            <w:r>
              <w:rPr>
                <w:rFonts w:ascii="楷体" w:hAnsi="楷体" w:eastAsia="楷体" w:cs="楷体"/>
                <w:color w:val="000000"/>
              </w:rPr>
              <w:t>1999年8月，尼日利亚的牧师瑞弗伦德·苏尖锐批评说：“大多数受过教育的尼日利亚人民，他们都是外国行为方式的模仿者，喜欢在我们面前炫耀他们的欧美超道德（实际是非道德的）倾向……”</w:t>
            </w:r>
          </w:p>
        </w:tc>
      </w:tr>
    </w:tbl>
    <w:p w14:paraId="37EDB134">
      <w:pPr>
        <w:spacing w:line="360" w:lineRule="auto"/>
        <w:ind w:firstLine="420"/>
        <w:jc w:val="right"/>
        <w:textAlignment w:val="center"/>
        <w:rPr>
          <w:color w:val="000000"/>
        </w:rPr>
      </w:pPr>
      <w:r>
        <w:rPr>
          <w:rFonts w:ascii="楷体" w:hAnsi="楷体" w:eastAsia="楷体" w:cs="楷体"/>
          <w:color w:val="000000"/>
        </w:rPr>
        <w:t>——摘编自[加纳]乔治·B．N．阿耶提《解放后的非洲：非洲未来发展的蓝图》等</w:t>
      </w:r>
    </w:p>
    <w:p w14:paraId="642F1D50">
      <w:pPr>
        <w:spacing w:line="360" w:lineRule="auto"/>
        <w:jc w:val="left"/>
        <w:textAlignment w:val="center"/>
        <w:rPr>
          <w:color w:val="000000"/>
        </w:rPr>
      </w:pPr>
      <w:r>
        <w:rPr>
          <w:rFonts w:ascii="宋体" w:hAnsi="宋体" w:eastAsia="宋体" w:cs="宋体"/>
          <w:color w:val="000000"/>
        </w:rPr>
        <w:t>分析说明什么是“真正的解放”。</w:t>
      </w:r>
    </w:p>
    <w:p w14:paraId="074FAF0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E8F8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3D0B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C24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7403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C2741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8852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C005DC"/>
    <w:rsid w:val="18D76610"/>
    <w:rsid w:val="38274566"/>
    <w:rsid w:val="67780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3147</Words>
  <Characters>3437</Characters>
  <Lines>0</Lines>
  <Paragraphs>0</Paragraphs>
  <TotalTime>0</TotalTime>
  <ScaleCrop>false</ScaleCrop>
  <LinksUpToDate>false</LinksUpToDate>
  <CharactersWithSpaces>3613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2026-02-10T06:55:09Z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D9973A5A648D477399FF207128CEDCF6_12</vt:lpwstr>
  </property>
</Properties>
</file>