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3957F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11658600</wp:posOffset>
            </wp:positionV>
            <wp:extent cx="482600" cy="4064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2024年天津市高考历史真题</w:t>
      </w:r>
    </w:p>
    <w:p w14:paraId="3A8E87F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04126EE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周人认为，商之所以灭亡是因为“敛怨以为德”，为上天所弃；为此，周奉行“惟德是依”“敬天保民”。这主要体现了周人（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68513A2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能够借鉴历史经验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推崇神权至上思想</w:t>
      </w:r>
    </w:p>
    <w:p w14:paraId="6FEB93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沿袭前朝价值观念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坚持礼法并重传统</w:t>
      </w:r>
    </w:p>
    <w:p w14:paraId="18375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唐中宗下令修改《氏族志》，至唐玄宗初年撰成《姓氏录》；书中对相关家族按照道德、功勋、血缘、籍贯，“等而次之”，对有官爵的“夷番酋长”也授予相应等级。此举（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D23F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维护了门阀制度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破除了门第界限</w:t>
      </w:r>
    </w:p>
    <w:p w14:paraId="51C8B3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改革了选官制度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削弱了士族集团</w:t>
      </w:r>
    </w:p>
    <w:p w14:paraId="7362B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在编撰《资治通鉴》过程中，面对多政权并存时期如何确定编年标准的问题，司马光认为，政权无论华夷大小强弱，须同等对待，不能独尊一国为正统，“而其余皆为僭伪”，从中可以看出司马光（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671FE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坚持务实治史的追求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推进华夏认同的志向</w:t>
      </w:r>
    </w:p>
    <w:p w14:paraId="195734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强调民族对立的意图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独尊中原王朝的立场</w:t>
      </w:r>
    </w:p>
    <w:p w14:paraId="1D5DC9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下表为天津两所学堂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基本情况及主要课程设置，表中内容的联系与变化反映了（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20"/>
        <w:gridCol w:w="3540"/>
      </w:tblGrid>
      <w:tr w14:paraId="1E5F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4FD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天津武备学堂</w:t>
            </w:r>
          </w:p>
          <w:p w14:paraId="6E85E9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1885</w:t>
            </w:r>
            <w:r>
              <w:rPr>
                <w:rFonts w:ascii="宋体" w:hAnsi="宋体" w:eastAsia="宋体" w:cs="宋体"/>
                <w:color w:val="000000"/>
              </w:rPr>
              <w:t>年，军事专科学堂）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30F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天津中西学堂</w:t>
            </w:r>
          </w:p>
          <w:p w14:paraId="2BF79E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1895</w:t>
            </w:r>
            <w:r>
              <w:rPr>
                <w:rFonts w:ascii="宋体" w:hAnsi="宋体" w:eastAsia="宋体" w:cs="宋体"/>
                <w:color w:val="000000"/>
              </w:rPr>
              <w:t>年，综合性学堂）</w:t>
            </w:r>
          </w:p>
        </w:tc>
      </w:tr>
      <w:tr w14:paraId="7E224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D154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课程分为学、术两科：中国经史、测绘、算学、战法兵器等，马、步、炮队操演阵式等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6B0F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通学课程包括：高级应用英文课程，西学基础课程如几何学、微分学等，应用性课程如驾驶、万国公法、理财富国学等</w:t>
            </w:r>
          </w:p>
        </w:tc>
      </w:tr>
    </w:tbl>
    <w:p w14:paraId="7AD58161">
      <w:pPr>
        <w:spacing w:line="360" w:lineRule="auto"/>
        <w:jc w:val="left"/>
        <w:textAlignment w:val="center"/>
        <w:rPr>
          <w:color w:val="000000"/>
        </w:rPr>
      </w:pPr>
    </w:p>
    <w:p w14:paraId="4A9F49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百日维新的成效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统一学制的建立</w:t>
      </w:r>
    </w:p>
    <w:p w14:paraId="0062E5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社会制度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演进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洋务人士的反思</w:t>
      </w:r>
    </w:p>
    <w:p w14:paraId="12C3D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1919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月底，虽经中国代表的据理力争，巴黎和会上西方列强仍然决定将德国在山东的权益转让给日本，列强的这一行径，引发了国人“积压已久的不满与愤怒”。从形成原因上，对“积压已久”理解全面的是（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79A14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五四爱国运动的激发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群众爱国意识的觉醒</w:t>
      </w:r>
    </w:p>
    <w:p w14:paraId="2F78D7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近代历史发展的结果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列强压迫中国的反弹</w:t>
      </w:r>
    </w:p>
    <w:p w14:paraId="56C9BF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下图表现了劳动人民边生产边学习的情景，它反映出（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981CD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27432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E16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统一战线受到了广泛拥护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土地革命赢得了农民支持</w:t>
      </w:r>
    </w:p>
    <w:p w14:paraId="0D2368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抗日民主根据地巩固发展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敌后战场开始成为主战场</w:t>
      </w:r>
    </w:p>
    <w:p w14:paraId="69C07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1954</w:t>
      </w:r>
      <w:r>
        <w:rPr>
          <w:rFonts w:ascii="宋体" w:hAnsi="宋体" w:eastAsia="宋体" w:cs="宋体"/>
          <w:color w:val="000000"/>
        </w:rPr>
        <w:t>年，中国与英国建立代办级外交关系；</w:t>
      </w:r>
      <w:r>
        <w:rPr>
          <w:rFonts w:ascii="Times New Roman" w:hAnsi="Times New Roman" w:eastAsia="Times New Roman" w:cs="Times New Roman"/>
          <w:color w:val="000000"/>
        </w:rPr>
        <w:t>1964</w:t>
      </w:r>
      <w:r>
        <w:rPr>
          <w:rFonts w:ascii="宋体" w:hAnsi="宋体" w:eastAsia="宋体" w:cs="宋体"/>
          <w:color w:val="000000"/>
        </w:rPr>
        <w:t>年，中法两国建立大使级外交关系；</w:t>
      </w:r>
      <w:r>
        <w:rPr>
          <w:rFonts w:ascii="Times New Roman" w:hAnsi="Times New Roman" w:eastAsia="Times New Roman" w:cs="Times New Roman"/>
          <w:color w:val="000000"/>
        </w:rPr>
        <w:t>1972</w:t>
      </w:r>
      <w:r>
        <w:rPr>
          <w:rFonts w:ascii="宋体" w:hAnsi="宋体" w:eastAsia="宋体" w:cs="宋体"/>
          <w:color w:val="000000"/>
        </w:rPr>
        <w:t>年，中美发表《联合公报》，两国关系开始走向正常化。中国与英法美三国关系的变化（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D0A55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证明了“一边倒”方针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胜利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体现了独立自主的外交方针</w:t>
      </w:r>
    </w:p>
    <w:p w14:paraId="237F1E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说明了全方位外交活动的开展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反映了两极对峙格局的终结</w:t>
      </w:r>
    </w:p>
    <w:p w14:paraId="7444B4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1979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月，中共中央召开工作会议，正式确立了对国民经济实行“调整、改革、整顿、提高”的方针，指出改革要侧重于扩大企业自主权，增强企业活力，实行严格的经济核算，认真执行按劳分配的原则。这表明（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AD12F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城市经济体制改革提上日程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农业生产责任制继续深化</w:t>
      </w:r>
    </w:p>
    <w:p w14:paraId="278626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对外开放战略全面顺利实施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生产资料所有制急需调整</w:t>
      </w:r>
    </w:p>
    <w:p w14:paraId="1C41C7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奥斯曼帝国的所有土地都是国家财产，军事贵族的封地面积较小且几乎不可世袭；苏丹维持着一支战力强大的常备军，并把征服的土地奖给士兵。这使奥斯曼帝国在与中古西欧各国竞争中常处于优势，造成该局面主要是由于双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C09EC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社会形态不同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土地制度不同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军事装备不同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控制地域不同</w:t>
      </w:r>
    </w:p>
    <w:p w14:paraId="48820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文艺复兴时期，有学者赞成古希腊人的说法，认为人类历史循环往复，交替进行；也有学者质疑古希腊人的人类历史退化观，其理由是仅印刷术一项就可以超越古人的所有发明。上述观点与文艺复兴特点相符合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1A8CA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汲取东方文化精华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批判继承古典文化</w:t>
      </w:r>
    </w:p>
    <w:p w14:paraId="34B187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崇尚理性科学思想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追求现世幸福生活</w:t>
      </w:r>
    </w:p>
    <w:p w14:paraId="7FC71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世纪，西属拉丁美洲的波托西成为世界重要的银矿开采中心，其人口高达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万人，比西班牙任何城市都多，印第安矿工艰难劳动生产的银锭和劳工生产的银子流入世界各地。导致波托西繁荣的直接原因是（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7F276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种植园制的盛行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奴隶贸易的兴盛</w:t>
      </w:r>
    </w:p>
    <w:p w14:paraId="2F617C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商业革命的发展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殖民掠夺的疯狂</w:t>
      </w:r>
    </w:p>
    <w:p w14:paraId="6F695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在实行等级制度的西方社会中，存在着多种法律体系，贵族领主、城市新贵、城市市民、宗教人士和非宗教人士以及男人和女人的基本权利皆有区别。下列各项中，从法律制度上对此做出根本性否定的是（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34B3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《查士丁尼法典》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《权利法案》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英国的《大宪章》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《人权宣言》</w:t>
      </w:r>
    </w:p>
    <w:p w14:paraId="2E666B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1830-1896</w:t>
      </w:r>
      <w:r>
        <w:rPr>
          <w:rFonts w:ascii="宋体" w:hAnsi="宋体" w:eastAsia="宋体" w:cs="宋体"/>
          <w:color w:val="000000"/>
        </w:rPr>
        <w:t>年美国生产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蒲小麦由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小时变为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分钟；</w:t>
      </w:r>
      <w:r>
        <w:rPr>
          <w:rFonts w:ascii="Times New Roman" w:hAnsi="Times New Roman" w:eastAsia="Times New Roman" w:cs="Times New Roman"/>
          <w:color w:val="000000"/>
        </w:rPr>
        <w:t>1869</w:t>
      </w:r>
      <w:r>
        <w:rPr>
          <w:rFonts w:ascii="宋体" w:hAnsi="宋体" w:eastAsia="宋体" w:cs="宋体"/>
          <w:color w:val="000000"/>
        </w:rPr>
        <w:t>年美国运输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蒲小麦到英国需</w:t>
      </w:r>
      <w:r>
        <w:rPr>
          <w:rFonts w:ascii="Times New Roman" w:hAnsi="Times New Roman" w:eastAsia="Times New Roman" w:cs="Times New Roman"/>
          <w:color w:val="000000"/>
        </w:rPr>
        <w:t>37</w:t>
      </w:r>
      <w:r>
        <w:rPr>
          <w:rFonts w:ascii="宋体" w:hAnsi="宋体" w:eastAsia="宋体" w:cs="宋体"/>
          <w:color w:val="000000"/>
        </w:rPr>
        <w:t>美分，</w:t>
      </w:r>
      <w:r>
        <w:rPr>
          <w:rFonts w:ascii="Times New Roman" w:hAnsi="Times New Roman" w:eastAsia="Times New Roman" w:cs="Times New Roman"/>
          <w:color w:val="000000"/>
        </w:rPr>
        <w:t>1905</w:t>
      </w:r>
      <w:r>
        <w:rPr>
          <w:rFonts w:ascii="宋体" w:hAnsi="宋体" w:eastAsia="宋体" w:cs="宋体"/>
          <w:color w:val="000000"/>
        </w:rPr>
        <w:t>年缩短到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美分。上述变化的主要物质支持是（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E9080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农业技术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进步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电力应用的普及</w:t>
      </w:r>
    </w:p>
    <w:p w14:paraId="483A83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生产工具的更新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劳动技术的提升</w:t>
      </w:r>
    </w:p>
    <w:p w14:paraId="11B8DA4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单项选择题Ⅱ：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14-15</w:t>
      </w:r>
      <w:r>
        <w:rPr>
          <w:rFonts w:ascii="宋体" w:hAnsi="宋体" w:eastAsia="宋体" w:cs="宋体"/>
          <w:b/>
          <w:color w:val="000000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分。每一选项的分值分别为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分。选出最佳一项，多选不得分。</w:t>
      </w:r>
    </w:p>
    <w:p w14:paraId="395AD6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中国古代新建王朝前期的统治者，面对经济残破、民不聊生，大多实行轻徭薄赋、休养生息等顺应民意的措施，由此出现了文景之治、贞观之治等“治世”，为后来的进一步发展奠定了基础。以唯物史观为指导，对上述措施与“治世”之间的关系，概括最准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E64F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生产关系决定生产力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生产关系对生产力具有反作用</w:t>
      </w:r>
    </w:p>
    <w:p w14:paraId="514903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生产力决定生产关系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生产力与生产关系的辩证关系</w:t>
      </w:r>
    </w:p>
    <w:p w14:paraId="33A684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如果在</w:t>
      </w:r>
      <w:r>
        <w:rPr>
          <w:rFonts w:ascii="Times New Roman" w:hAnsi="Times New Roman" w:eastAsia="Times New Roman" w:cs="Times New Roman"/>
          <w:color w:val="000000"/>
        </w:rPr>
        <w:t>1930-2000</w:t>
      </w:r>
      <w:r>
        <w:rPr>
          <w:rFonts w:ascii="宋体" w:hAnsi="宋体" w:eastAsia="宋体" w:cs="宋体"/>
          <w:color w:val="000000"/>
        </w:rPr>
        <w:t>年出版的国际图书中，分别检索“联合国”和“危机”，可得到两词出现频率的统计示意图。对下图反映的相关国际政治内容，理解最全面的是（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69DEB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19550" cy="1981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BB3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全球治理体系有待完善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冷战结束后国际秩序存在混乱</w:t>
      </w:r>
    </w:p>
    <w:p w14:paraId="558D05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原有国际机制失去作用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世界局势的不确定性逐渐增加</w:t>
      </w:r>
    </w:p>
    <w:p w14:paraId="739EDD0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800E6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19EF2F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明清时期，棉布是农民重要的生活必需品，在家庭中“四时可纺织”“七岁女七十岁妪皆可纺”；除自用外，棉布还可在市场出售，在一些地区出现了专门的纺户和织户，纺户纺纱出售，织户买纱织布。据研究，明清时期布产量远超英国工业革命早期，但直到鸦片战争前，棉纺织生产始终停留在家庭手工业阶段，并未发现棉纺织手工工场。</w:t>
      </w:r>
    </w:p>
    <w:p w14:paraId="1CB5B8F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——摘编自《中国经济通史》等</w:t>
      </w:r>
    </w:p>
    <w:p w14:paraId="04C7BC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随着家庭纺织业的繁荣，明清时期江南地区形成众多市镇。这些新型市镇接近农村，服务于家庭手工业生产发挥了商品集散中心的作用，促进了地区间的经济分工与合作。其中一些大型市镇，发展为与传统“郡县城市”不同的“工商城市”，体现了中国封建社会后期商品经济迅速发展的潮流和趋向；在人口、城区规模以及工商业水平上，毫不逊色于中古西欧的自治城市；开辟了一条中国封建城市发展的新道路，不过，到鸦片战争前夕，世界级大城市大多位于欧洲与美洲。</w:t>
      </w:r>
    </w:p>
    <w:p w14:paraId="44CA1AF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——摘编自《中国通史》</w:t>
      </w:r>
    </w:p>
    <w:p w14:paraId="2FF8B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根据材料一并结合所学内容，概括中国明清时期与近代英国在棉纺织业发展上的不同路径。</w:t>
      </w:r>
    </w:p>
    <w:p w14:paraId="6F319D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根据材料二并结合所学内容，参照西欧城市化历程，说明中国明清时期市镇发展的状况。</w:t>
      </w:r>
    </w:p>
    <w:p w14:paraId="474DA2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50F1CD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晚清时，黄河、永定河等水患严重。1882年，李鸿章尝试使用西方机器船治河，清淤疏浚效果不佳，清廷批示，此机器船“起泥不灵，看来竟是废物，嗣后毋庸购买”。1886年，醇亲王等人又以现用船只“笨滞无力”为由，奏请“购造试办”西方机器船，若用来拖带传统刷沙工具，可“事半功倍”；清廷允准。山东巡抚购买西方机器船，并委托国内船厂仿造。1898年，西方专家受邀考察勘测黄河河道，提出水土保持等整体治河方案，清政府未予采用。</w:t>
      </w:r>
    </w:p>
    <w:p w14:paraId="1411D2A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——摘编自《再续行水金鉴》等</w:t>
      </w:r>
    </w:p>
    <w:p w14:paraId="1C6903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新中国成立后，党和国家高度重视水利事业，逐步形成比较完整、大中小相结合的水利工程系统。1951年作为建国初期重大水利工程之一的官厅水库建设开始启动。刚刚获得解放的劳动人民以极大的热情投入到水库建设当中，轮番工作，昼夜不停；在中央统一调配下，各地迅速支援大型机器设备和钢筋、水泥等材料。1954年官厅水库竣工，基本解决了长期危害永定河两岸人民的水患；此后又在提供生产生活用水以及水力发电、生态环保和旅游开发等诸多方面发挥了重要作用。</w:t>
      </w:r>
    </w:p>
    <w:p w14:paraId="57B20E8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——摘编自《新中国成立十年北京市水利建设成就史料》等</w:t>
      </w:r>
    </w:p>
    <w:p w14:paraId="4D5F52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根据材料一并结合所学内容，简析清政府治河时对西方技术的尝试及其态度。</w:t>
      </w:r>
    </w:p>
    <w:p w14:paraId="29C40B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根据材料二并结合所学内容，以官厅水库建设为例，概述建国初期社会主义经济建设的特点。</w:t>
      </w:r>
    </w:p>
    <w:p w14:paraId="152946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097B33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自古以来，海洋一直是人类活动的重要舞台。人们对外部世界的探索，彼此之间物质与文化的交往，很多都是借助海洋进行的。无数历史事件证明，人们了解、掌握并利用了海洋的自然地理特点和变化规律，不断丰富和创造出行之有效的技术手段，从而使自己的活动在历史中留下鲜明的印记。</w:t>
      </w:r>
    </w:p>
    <w:p w14:paraId="7E2E33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择中外历史上一次与海洋相关的重要历史活动，自拟标题，综合运用多学科内容，就此次活动的目的、背景条件、采用的技术手段和历史意义，加以说明。（要求：标题与海洋活动相关，具体清楚；内容完整，以历史学科为主，联系其他学科内容；观点正确，条理清晰。）</w:t>
      </w:r>
    </w:p>
    <w:p w14:paraId="19D74C1A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643A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F1DC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E7A7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72A0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72E0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D991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E8A6777"/>
    <w:rsid w:val="38274566"/>
    <w:rsid w:val="3EC003DB"/>
    <w:rsid w:val="7D2B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3288</Words>
  <Characters>3444</Characters>
  <Lines>0</Lines>
  <Paragraphs>0</Paragraphs>
  <TotalTime>0</TotalTime>
  <ScaleCrop>false</ScaleCrop>
  <LinksUpToDate>false</LinksUpToDate>
  <CharactersWithSpaces>3609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2026-02-10T06:36:00Z</dcterms:created>
  <dc:creator>Administrator</dc:creator>
  <cp:lastModifiedBy>上帝掷骰子吗</cp:lastModifiedBy>
  <dcterms:modified xsi:type="dcterms:W3CDTF">2026-02-10T06:55:08Z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2C43B5256A60453985DEBC08DB18527A_12</vt:lpwstr>
  </property>
</Properties>
</file>