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F6589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10477500</wp:posOffset>
            </wp:positionV>
            <wp:extent cx="406400" cy="4445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28240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重庆市2024年普通高中学业水平等级考试</w:t>
      </w:r>
    </w:p>
    <w:p w14:paraId="63B108A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641A921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7B9A6AA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646CB2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3E09294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5CA39D6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124ABA9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763D258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新石器时代到两周时期中国各地区传统墓葬头向可概括为：“东夷及其先民尚东，楚蛮及其先民尚南，西戎及其先民尚西，华夏及其先民尚北。”关中地区凤翔西村、沣西客省庄等地西周墓多为北头向，春秋时期的墓葬多为西向头。这表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CB1A87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西周时期华夏认同初步形成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春秋时期深受西戎俗影响</w:t>
      </w:r>
    </w:p>
    <w:p w14:paraId="5FD595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各族同源观念得到发展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各地区得文化传统趋于稳固</w:t>
      </w:r>
    </w:p>
    <w:p w14:paraId="1C1032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北魏均田令规定，</w:t>
      </w:r>
      <w:r>
        <w:rPr>
          <w:color w:val="000000"/>
        </w:rPr>
        <w:t>奴婢按骗户民标准授田，但要求 “奴从耕，婢从织”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北齐均田令规定奴婢限外不课田者皆不输”</w:t>
      </w:r>
      <w:r>
        <w:rPr>
          <w:rFonts w:ascii="宋体" w:hAnsi="宋体" w:eastAsia="宋体" w:cs="宋体"/>
          <w:color w:val="000000"/>
        </w:rPr>
        <w:t>。隋承齐制，大业元年（</w:t>
      </w:r>
      <w:r>
        <w:rPr>
          <w:rFonts w:ascii="Times New Roman" w:hAnsi="Times New Roman" w:eastAsia="Times New Roman" w:cs="Times New Roman"/>
          <w:color w:val="000000"/>
        </w:rPr>
        <w:t>605)</w:t>
      </w:r>
      <w:r>
        <w:rPr>
          <w:rFonts w:ascii="宋体" w:hAnsi="宋体" w:eastAsia="宋体" w:cs="宋体"/>
          <w:color w:val="000000"/>
        </w:rPr>
        <w:t>又规定“除妇人及奴婢，部曲（依附民）之课”。这意味着（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3E10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均田制遭破坏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北齐奴婢不再授田</w:t>
      </w:r>
    </w:p>
    <w:p w14:paraId="290230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承担赋役是授田前提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隋代废除定额租调</w:t>
      </w:r>
    </w:p>
    <w:p w14:paraId="539BF2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唐朝为边疆防御节度使，每个节度使领属数万军队，兵将形成长期密切的关系。节度使的设置缓解了边疆外族势力对朝廷的压力，然而天宝年间发生了安史之乱。这说明节度使（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1697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制度具有重大的缺陷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由蕃将充任是严重失误</w:t>
      </w:r>
    </w:p>
    <w:p w14:paraId="6A8504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没有边地军队调兵权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打破了外重内轻的局面</w:t>
      </w:r>
    </w:p>
    <w:p w14:paraId="35AB18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王安石为，“天”是自然的、物质的，沿着自己的道路即“天道“运行和变化着，“可无作好，天作恶，无偏无觉，无反无侧”。人也同本样按照自己的道路即“人道”活动和发展着。这要反映了王安石（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3BC3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朴素的辩证法思想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传统的伦理观</w:t>
      </w:r>
    </w:p>
    <w:p w14:paraId="46F897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朴素的唯物论思想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传统的天命观</w:t>
      </w:r>
    </w:p>
    <w:p w14:paraId="54547B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1284</w:t>
      </w:r>
      <w:r>
        <w:rPr>
          <w:rFonts w:ascii="宋体" w:hAnsi="宋体" w:eastAsia="宋体" w:cs="宋体"/>
          <w:color w:val="000000"/>
        </w:rPr>
        <w:t>年，元朝政府下令禁止权势之家进行海外贸易，犯者籍没一半家产，但这一禁令收效甚微。</w:t>
      </w:r>
      <w:r>
        <w:rPr>
          <w:rFonts w:ascii="Times New Roman" w:hAnsi="Times New Roman" w:eastAsia="Times New Roman" w:cs="Times New Roman"/>
          <w:color w:val="000000"/>
        </w:rPr>
        <w:t>1293</w:t>
      </w:r>
      <w:r>
        <w:rPr>
          <w:rFonts w:ascii="宋体" w:hAnsi="宋体" w:eastAsia="宋体" w:cs="宋体"/>
          <w:color w:val="000000"/>
        </w:rPr>
        <w:t>年不再禁止权势之家“人蕃为贾”，而是约束不法行为，“依着百姓每（们）的体例，与抽分者”。此后权势之家出海为贾现象增多，这反映出元朝（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1887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征税加剧社会贫富分化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贵族势力扩张威胁专制皇权</w:t>
      </w:r>
    </w:p>
    <w:p w14:paraId="7DCF00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法律调整缓和阶级矛盾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海外贸易繁荣推动政策变革</w:t>
      </w:r>
    </w:p>
    <w:p w14:paraId="15A6B8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明清时期，宋代女子吴妙静的故事在岭南地区广为流传。她最初仅因为出资修桥造福民众而闻名，之后却被地方官绅塑造为节孝双全的人物，乃至成为当地女性的榜样。可见当时（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85B6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理学渗透到基层社会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妇女社会地位显著提升</w:t>
      </w:r>
    </w:p>
    <w:p w14:paraId="331C70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公益事业进一步发展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官绅阶层思想趋于创新</w:t>
      </w:r>
    </w:p>
    <w:p w14:paraId="713D55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宋体" w:hAnsi="宋体" w:eastAsia="宋体" w:cs="宋体"/>
          <w:color w:val="000000"/>
        </w:rPr>
        <w:t>年中共地下党组织和进步新闻工作者在上海租界合办《每日译报》，聘请英国人担任发行人，以英商大学图书公司（香港注册）名义出版发行。受《每日译报》悬挂“洋旗”成功得启发，爱国人士纷纷以英美旗帜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掩护办报。此举旨在（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E7A1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寻求英美帮助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进行抗战新闻宣传</w:t>
      </w:r>
    </w:p>
    <w:p w14:paraId="63254A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促进报业繁荣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掩护中共敌后活动</w:t>
      </w:r>
    </w:p>
    <w:p w14:paraId="4A45EB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有学者指出，新中国成立之初的土地改革不同于某几个帝王用恩赐的办法，“均土地、抑豪强”，实行土地“让步政策”，而是要彻底推翻乡村旧秩序，使上层和下层、中央和地方整合在一起。此观点认为，土地改革改变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ABC1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土地所有制性质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中国的社会性质</w:t>
      </w:r>
    </w:p>
    <w:p w14:paraId="3F0F18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中国的社会结构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农村的经济格局</w:t>
      </w:r>
    </w:p>
    <w:p w14:paraId="3FF41D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下图反映的是</w:t>
      </w:r>
      <w:r>
        <w:rPr>
          <w:rFonts w:ascii="Times New Roman" w:hAnsi="Times New Roman" w:eastAsia="Times New Roman" w:cs="Times New Roman"/>
          <w:color w:val="000000"/>
        </w:rPr>
        <w:t>1995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宋体" w:hAnsi="宋体" w:eastAsia="宋体" w:cs="宋体"/>
          <w:color w:val="000000"/>
        </w:rPr>
        <w:t>年中国研发经费及投入强度（研发经费与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之比）情况。这体现了中国（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6F62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9675" cy="2619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D09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科研人员总量居世界首位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“科教兴国”战略有效实施</w:t>
      </w:r>
    </w:p>
    <w:p w14:paraId="354FD0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研发经费与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等比增长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“科技创新”已成顶层设计</w:t>
      </w:r>
    </w:p>
    <w:p w14:paraId="5EAB46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世纪，神圣罗马帝国皇帝对铸币的控制较弱，许多铸币厂由教会掌控，其发行的货币占主导地位。法国铸币业被大领主控制，货币的原料、工艺、和设计都颇为粗劣。英国王室则控制了大量铸币厂，每三到六年便调整货币设计。这表明当时的西欧诸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AD2F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教会引领货币经济改革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封建经济陆续走向瓦解</w:t>
      </w:r>
    </w:p>
    <w:p w14:paraId="5CBF6A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王室鼓励工艺创新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王权集中程度存在差异</w:t>
      </w:r>
    </w:p>
    <w:p w14:paraId="55A796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世纪末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世纪初开始，南德意志的帝国城市与皇室逐渐建立起较为强大的同盟，然而，随着这些帝国城市大部分转信新教，其与帝国皇帝的天主教信仰产生尖锐冲突，市民与王权的结盟遭遇重挫，帝国城市被迫寻求新教诸侯建立同盟。材料有助于说明，宗教改革促成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DB20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德意志人宗教信仰自由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德意志政治势力重组</w:t>
      </w:r>
    </w:p>
    <w:p w14:paraId="1078D4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帝国城市获得主权地位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德意志分裂局面形成</w:t>
      </w:r>
    </w:p>
    <w:p w14:paraId="1D8A6B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宋体" w:hAnsi="宋体" w:eastAsia="宋体" w:cs="宋体"/>
          <w:color w:val="000000"/>
        </w:rPr>
        <w:t>年前后，英格兰商业以本地市场为主，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世纪初，英格兰大多数地区，社会因商业活动空前联系在一起。这在不断发展的长途贸易中大为显著，农产品和手工业品被源源不断地输送到远方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世纪中叶很多农村家庭已经与伦敦等大城市联系在一起，他们或是生产者，或是消费者，或两者兼并备。材料表明近代早期英格兰（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80ED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消费成为经济增长主要动力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地方经济受跨国资本影响</w:t>
      </w:r>
    </w:p>
    <w:p w14:paraId="457BAD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长途贸易促进了资本的积累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经济商业化趋势不断加强</w:t>
      </w:r>
    </w:p>
    <w:p w14:paraId="751B3A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世纪中叶以前，欧洲城市的街道和广场上充斥着君主、军人英雄的纪念名单或雕像，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年代，各国开始重视对本国文化英雄的纪念，作家艺术家和作曲家的纪念碑越来越多，与政治家和军人的相当，这种变化说明（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F1BF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文化成为塑造国家认同的基础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欧洲人文景观的政治色彩弱化</w:t>
      </w:r>
    </w:p>
    <w:p w14:paraId="6AB2FC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雕塑艺术传统在欧洲走向衰落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艺术创作受到政治权力的制约</w:t>
      </w:r>
    </w:p>
    <w:p w14:paraId="357060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1916</w:t>
      </w:r>
      <w:r>
        <w:rPr>
          <w:rFonts w:ascii="宋体" w:hAnsi="宋体" w:eastAsia="宋体" w:cs="宋体"/>
          <w:color w:val="000000"/>
        </w:rPr>
        <w:t>年，英占北尼日利亚颁布土著政权法，宣布尊重传统统治者，在各自族群中的神圣地位，保留原有继承程序和仪式，维持既有官员和政权机构，同时规定政权性质为英国治下殖民地的地方政权，由此可见英国（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CD92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授予北尼日利亚的治权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利用土著政权进行间接统治</w:t>
      </w:r>
    </w:p>
    <w:p w14:paraId="4F76D5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承认殖民地民族自决权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维持当地社会传统权力结构</w:t>
      </w:r>
    </w:p>
    <w:p w14:paraId="3F3149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二战后日本部分影视通过描绘战争中的平民个体在东京大轰炸、广岛和长崎原子弹爆炸，以及太平洋战争中所遭受的创伤记忆，将日本民众构件成为“战争受害共同体”参与塑造了日本社会新的“二战史观”这种做法的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0BD9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抵制国内右翼势力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灌输军国主义思想</w:t>
      </w:r>
    </w:p>
    <w:p w14:paraId="615601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揭示历史复杂面向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开脱日本战争罪责</w:t>
      </w:r>
    </w:p>
    <w:p w14:paraId="5E7FC3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FCF16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6CF77BD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到明代进入第四个寒冷期，而农垦成风，“墙（明长城）内之地，悉分屯垦”。沙地植被遭到破坏，到万历年间普遍发生了建筑物被壅的现象。万历三十七年（1609年），榆林卫中路“东自常乐堡起，西至清平堡止”“俱系平墙大沙，间有高过墙五七尺者，甚有一丈者”。是年闰三月，朝廷调兵两千余人，并招募陕北各州县灾民数百人，历时六个月，长城沿线约120千米积沙被扒除到底并运往远地，“沿边一带，焕然一新，不可谓非大工”。</w:t>
      </w:r>
    </w:p>
    <w:p w14:paraId="111AF2A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——摘编自韩昭庆《荒漠水系三角——中国环境史的区域研究》</w:t>
      </w:r>
    </w:p>
    <w:p w14:paraId="4A2DC9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榆林地处毛乌素沙漠南缘，清末民初有6个堡寨、421个村宅、近10万亩农田遭埋压危害。沙区垦民为求生计，背扛肩挑，移沙造地，垒石防沙护田，散压柴草挡风救苗，依然不改“满眼尽飞沙”“树少不闻鸦”的景象。金鸡滩村马德宽借风移沙造田，或扬沙移丘，或背驮土石压沙，早出晚归，奋战10余年，夺地20余亩，微产杂粮，仍不解贫。</w:t>
      </w:r>
    </w:p>
    <w:p w14:paraId="6AF3293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——摘编自《榆林市志》</w:t>
      </w:r>
    </w:p>
    <w:p w14:paraId="4047473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1953年后，埃及政府对治沙实施政策扶植，并对各省的土地开发建设局实施系统领导，协调治沙。埃及还成立了专门的沙漠研究中心，从1979年起建立了5个沙漠土地开发技术实验推广示范中心。这些研究机构与推广示范中心紧密配合，研究成果可以很快得到应用。此外，埃及还从联合国、世界银行、中国、美国、法国等组织和国家获取资金、技术、设备及优质种源等。埃及开发沙漠农业的成功为国民经济发展提供重要保障。</w:t>
      </w:r>
    </w:p>
    <w:p w14:paraId="139E0F3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——摘编自郝晋珉、李拴怀《中国荒漠化与农业可持续发展》</w:t>
      </w:r>
    </w:p>
    <w:p w14:paraId="549220D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  新中国成立以来，中国共产党高度重视防沙治沙工作。1984年，国家允许农民承包治理荒地。石光银同海子梁乡政府签订合同，承包治理了3000亩荒沙，成为榆林地区承包治沙第一人。三十多年来，他带领乡亲们多措并举，历经千辛万苦，在25万亩荒沙、碱滩上种活了5300多万株（丛）乔灌木，在毛乌素沙地南缘筑起一道长百余里的“绿色长城”，扭转了“因沙致穷”的千年困局。中国对毛乌素沙地的成功治理树立了生态治理的国际典范。</w:t>
      </w:r>
    </w:p>
    <w:p w14:paraId="06CB6F9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——据任仲文编《千秋伟业百年风华》等整理</w:t>
      </w:r>
    </w:p>
    <w:p w14:paraId="26DE0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根据材料一并结合所学知识，说出陕北治沙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背景及效果。</w:t>
      </w:r>
    </w:p>
    <w:p w14:paraId="4079C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根据材料二，概括清末民初治沙失败的原因。</w:t>
      </w:r>
    </w:p>
    <w:p w14:paraId="17CFD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根据材料三，概括埃及治沙的历史经验。</w:t>
      </w:r>
    </w:p>
    <w:p w14:paraId="64215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根据材料四及所学知识，指出新中国治沙的意义。</w:t>
      </w:r>
    </w:p>
    <w:p w14:paraId="073CDC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151D0E3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罗马的公共建筑规划与其政治体制密切相关，共和时期，罗马缺少奢华壮丽的建筑物，但罗马人并未感到困扰，原因在于，在元老院这一具有寡头性质的集体议事机构中，没有任何元老能通过斥资修建纪念建筑来彰显自己的地位，这样做不但无法赢得同侪的尊重，反而会引发其自身权力野心的负面观感。另外，如果政府金库有闲置资金，首先会考虑为公民们修建能够便利生活的基础设施，或者改善公共道路，如果有人主持修建一个大型供水渠，他一定会赢得公民的称赞。</w:t>
      </w:r>
    </w:p>
    <w:p w14:paraId="020198B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——麦克伊韦迪《古典世界的城市》</w:t>
      </w:r>
    </w:p>
    <w:p w14:paraId="7FBA4D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始皇二十六年（公元前221年）秦以咸阳所在地区为“内史”，建立以咸阳为中心的京畿区域，并“徙天下富豪于咸阳十二万户”，以充实京师。二十七年“作信宫渭南，已更命信宫为极庙，象天极（北极星）”。三十五年，秦始皇锐意经营渭南，拟将咸阳重心置于丰镐古都之间，故另建新天极——阿房宫，并扩大城址直达南山，即以山为宫阙，视渭河为“天汉”。</w:t>
      </w:r>
    </w:p>
    <w:p w14:paraId="3AFB9AE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——选自贺业钜《中国古代城市规划史》</w:t>
      </w:r>
    </w:p>
    <w:p w14:paraId="285D8C8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陪都核心，由两汉迄今，均在两江汇流处。……城市中心，偏居今日陕西街、林森路一带……此为本市发展之第一期。嗣后城内外开辟公路……人口重心，乃渐向城中移动。今之都邮街遂取城南之中心地位而代之。此为发展中之第二期。民国……十七年（1928年）划定新市区范围……新市区之开辟系由沿江趋向内陆公路、车站与轮船码头，互争雄长，此为发展之第三期。……二十二年重划市区，以巴县城郊，江北附郭，及南岸五塘，划归市政府管辖……此为发展之第四期。二十六年国府西迁，复于民二十九年将市区扩大，计面积约300平方公里，此为发展之第五期。而迁建区则北达北碲，南至南温泉，东起广阳坝，西抵白市驿，此大陪都之面积约1940平方公里。可预期为发展之第六期。</w:t>
      </w:r>
    </w:p>
    <w:p w14:paraId="586371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1962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BE5C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第二图 陪都各期成长略图</w:t>
      </w:r>
    </w:p>
    <w:p w14:paraId="4709929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——《陪都十年建设计划草案》</w:t>
      </w:r>
    </w:p>
    <w:p w14:paraId="5FA781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  1922年，国际田园城市与规划协会召开会议，其中一个主题是：“如何让田园城市在全球开花结果”,在接下来的十年里，欧洲国家尤其是英国将“田园城市”理念推广到非洲城市规划中，这些城市共有相同之处。一个中央政府办公区以及相邻商业办公区和中心购物区，它们被低密度的欧洲居住区包围。非洲人聚集的“非洲大院”相对较小，被分隔于城市一侧，通过诸如铁路这样的实质性屏障，尽可能远地和欧洲区分隔开来。</w:t>
      </w:r>
    </w:p>
    <w:p w14:paraId="4AEFBAF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——彼得·霍尔《明日之城：1880年以来城市规划与设计的思想史》</w:t>
      </w:r>
    </w:p>
    <w:p w14:paraId="5C0D7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根据材料一、二，分别概括罗马城与咸阳城规划所体现的政治理念。</w:t>
      </w:r>
    </w:p>
    <w:p w14:paraId="7B5E4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根据材料三并结合所学知识，分析近代重庆城区扩大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主要原因。</w:t>
      </w:r>
    </w:p>
    <w:p w14:paraId="4F885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根据材料四并结合所学知识，总结欧洲殖民者在非洲推行“田园城市”规划的后果。</w:t>
      </w:r>
    </w:p>
    <w:p w14:paraId="7F77ED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18. 阅读材料，完成下列要求。</w:t>
      </w:r>
    </w:p>
    <w:p w14:paraId="67357D1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关于中英第二次鸦片战争爆发的根本原因，有学者这样认为：一是英国政府要求清政府忠实履行《江宁条约》的规定，其中重要一点是让英国官员和商人可以自由进入广州城。让洋人进城，现在看来，完全是不值得一提的小事；当时在五口通商的其他四口尽管也有过大小不一的纠纷，但都一一化解，没有酿成巨祸。唯独在广州，却惊动朝野上下，闹得天翻地覆，开各地反入城斗争的先河，历时十多年无法解决，直至兵戎相见。二是《望厦条约》规定：“所有贸易及海面各款恐不无稍有变通之处，应俟十二年后，两国派员公平酌办。”《黄埔条约》亦规定：“若有应行更易章程条款之处……核计满十二年之数，方可与中国再行筹议。”修改有关通商条款，本属平常外交事务，清政府也一再拖延，加深了双方的矛盾。</w:t>
      </w:r>
    </w:p>
    <w:p w14:paraId="55D9BFF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——摘编自《张海鹏集》</w:t>
      </w:r>
    </w:p>
    <w:p w14:paraId="1AC4B1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根据材料归纳学者观点，结合所学知识予以评述。（观点正确，史实准确，论证充分，表达清晰）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A95D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3B8B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E549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702E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1A12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78D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176CFB"/>
    <w:rsid w:val="38274566"/>
    <w:rsid w:val="44FB7B92"/>
    <w:rsid w:val="74AC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4764</Words>
  <Characters>4937</Characters>
  <Lines>0</Lines>
  <Paragraphs>0</Paragraphs>
  <TotalTime>0</TotalTime>
  <ScaleCrop>false</ScaleCrop>
  <LinksUpToDate>false</LinksUpToDate>
  <CharactersWithSpaces>5125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77F366C0E2DA42AEAD6734E8F6F0969F_12</vt:lpwstr>
  </property>
</Properties>
</file>