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650153">
      <w:pPr>
        <w:spacing w:before="0" w:after="0" w:line="359" w:lineRule="exact"/>
        <w:ind w:left="2916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_s1025" o:spid="_x0000_s1025" o:spt="75" type="#_x0000_t75" style="position:absolute;left:0pt;margin-left:404.15pt;margin-top:72.55pt;height:2.75pt;width:2.7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bookmarkStart w:id="0" w:name="br1"/>
      <w:bookmarkEnd w:id="0"/>
      <w:r>
        <w:pict>
          <v:shape id="_x0000_s1026" o:spid="_x0000_s1026" o:spt="75" type="#_x0000_t75" style="position:absolute;left:0pt;margin-left:212.1pt;margin-top:473.3pt;height:5.75pt;width: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27" o:spid="_x0000_s1027" o:spt="75" type="#_x0000_t75" style="position:absolute;left:0pt;margin-left:116.8pt;margin-top:769.7pt;height:2.75pt;width:2.7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257.9pt;height:112.3pt;width:94.3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406.4pt;margin-top:403.5pt;height:16.25pt;width:12.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131.8pt;margin-top:474.05pt;height:16.25pt;width:12.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年福建卷历史高考真题</w:t>
      </w:r>
    </w:p>
    <w:p w14:paraId="6E470234">
      <w:pPr>
        <w:spacing w:before="178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一、选择题：本题共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74B226DD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4CF1DED6">
      <w:pPr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青铜器在西周时期用于贵族间维系血缘关系。东周时期，常有贵族为异性制作青铜器的。这一变化反映</w:t>
      </w:r>
    </w:p>
    <w:p w14:paraId="1ECAD391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出东周时期（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782E49F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青铜技术的进步</w:t>
      </w:r>
      <w:r>
        <w:rPr>
          <w:rFonts w:ascii="Times New Roman"/>
          <w:color w:val="000000"/>
          <w:spacing w:val="6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统治范围的扩大</w:t>
      </w:r>
      <w:r>
        <w:rPr>
          <w:rFonts w:ascii="Times New Roman"/>
          <w:color w:val="000000"/>
          <w:spacing w:val="6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天子权威的削弱</w:t>
      </w:r>
      <w:r>
        <w:rPr>
          <w:rFonts w:ascii="Times New Roman"/>
          <w:color w:val="000000"/>
          <w:spacing w:val="6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礼乐制度的崩溃</w:t>
      </w:r>
    </w:p>
    <w:p w14:paraId="54CF605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东汉时期鸠杖体现政府对老年人的优抚。下图为东汉时期的墓葬壁画，其中绘有一人（老人）弯腰（手</w:t>
      </w:r>
    </w:p>
    <w:p w14:paraId="4398FBC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持鸠杖）的情景。这说明当时（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F3DF229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民众认同社会教化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黄老无为思想影响民间习俗</w:t>
      </w:r>
    </w:p>
    <w:p w14:paraId="3DD7B1B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政府重视社会救济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儒家思想对丧葬仪式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渗透</w:t>
      </w:r>
    </w:p>
    <w:p w14:paraId="1798024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北魏孝文帝设二职（胡汉分治）负责信息的传递收集。迁都后，取消二职，设中书、门下机构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代替其</w:t>
      </w:r>
    </w:p>
    <w:p w14:paraId="4962CFE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原有职能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。这一情况的出现主要是由于（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E0D30E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加强皇权专制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需要</w:t>
      </w:r>
      <w:r>
        <w:rPr>
          <w:rFonts w:ascii="Times New Roman"/>
          <w:color w:val="000000"/>
          <w:spacing w:val="1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权力制衡的意图</w:t>
      </w:r>
      <w:r>
        <w:rPr>
          <w:rFonts w:ascii="Times New Roman"/>
          <w:color w:val="000000"/>
          <w:spacing w:val="6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鲜卑主体意识的增强</w:t>
      </w:r>
      <w:r>
        <w:rPr>
          <w:rFonts w:ascii="Times New Roman"/>
          <w:color w:val="000000"/>
          <w:spacing w:val="19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大一统的政治观念</w:t>
      </w:r>
    </w:p>
    <w:p w14:paraId="6F51B28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唐代常有财政复合单位记录，如：每岁钱粟绢绵布，约得五千三百二十余万端匹屯贯石，到了宋代，使</w:t>
      </w:r>
    </w:p>
    <w:p w14:paraId="59BE320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用复合单位记录赋税的现象减少；特别是南宋时期，财政货币化程度加强。这一变化主要缘于（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46C312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政府行政效率提高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财政收入来源扩大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农民税收负担减轻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纸币流通范围拓展</w:t>
      </w:r>
    </w:p>
    <w:p w14:paraId="49FF533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晚明时期，南方地区大量出刊茶书，内容也更为丰富，涵盖茶树繁殖、茶园管理、制茶技术、品茶茶具、</w:t>
      </w:r>
    </w:p>
    <w:p w14:paraId="6B79D8A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茶馆等。据此推知，这一现象反映了当时（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0EB373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市井生活的多元需求</w:t>
      </w:r>
      <w:r>
        <w:rPr>
          <w:rFonts w:ascii="Times New Roman"/>
          <w:color w:val="000000"/>
          <w:spacing w:val="1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茶叶市场的繁荣发展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文化传播的民间驱动</w:t>
      </w:r>
      <w:r>
        <w:rPr>
          <w:rFonts w:ascii="Times New Roman"/>
          <w:color w:val="000000"/>
          <w:spacing w:val="19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印刷技术的显著进步</w:t>
      </w:r>
    </w:p>
    <w:p w14:paraId="3099B69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乾隆时期，在平定准噶尔叛乱及大小和卓之乱的背景下，清政府组织编撰了西北边疆方志，即《西域图</w:t>
      </w:r>
    </w:p>
    <w:p w14:paraId="1E71D79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志》，全名《钦定皇舆西域图志》，系统调查并记录了西域地区的地理、民族、物产及军事要塞等信息。据</w:t>
      </w:r>
    </w:p>
    <w:p w14:paraId="076F40F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此推知，这一举措反映出（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CA782C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统筹军事资源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注重边疆治理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服务国家战略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巩固中央集权</w:t>
      </w:r>
    </w:p>
    <w:p w14:paraId="7D74BD1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太平天国运动失败后，清廷召集江宁将军和两江总督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重振江南地区秩序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-2"/>
          <w:sz w:val="21"/>
        </w:rPr>
        <w:t>。两江总督和江宁将军都派人</w:t>
      </w:r>
    </w:p>
    <w:p w14:paraId="2F41919A">
      <w:pPr>
        <w:spacing w:before="45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F14ED9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B5FE71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E7C7863">
      <w:pPr>
        <w:pStyle w:val="6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BB2381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5" w:name="_GoBack"/>
      <w:bookmarkEnd w:id="5"/>
    </w:p>
    <w:p w14:paraId="78F4838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1" o:spid="_x0000_s1031" o:spt="75" type="#_x0000_t75" style="position:absolute;left:0pt;margin-left:404.15pt;margin-top:72.55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212.1pt;margin-top:473.3pt;height:5.75pt;width: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116.8pt;margin-top:769.7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53pt;margin-top:233.9pt;height:132.6pt;width:218.8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110.05pt;margin-top:397.5pt;height:16.25pt;width:12.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446.95pt;margin-top:420.75pt;height:16.25pt;width:12.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168.55pt;margin-top:678.15pt;height:17pt;width:14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2"/>
          <w:sz w:val="21"/>
        </w:rPr>
        <w:t>到京城各部咨抄底案、清廷谕令户、兵、工三部将江宁旗营历办册案，赶紧照录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上交朝廷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。这一举措旨</w:t>
      </w:r>
    </w:p>
    <w:p w14:paraId="60E2BA5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C170C5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重建地方行政体系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增强抵御外敌能力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巩固中央集权权威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恢复政府统治秩序</w:t>
      </w:r>
    </w:p>
    <w:p w14:paraId="70C9EED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8. 1880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年天津水师学堂设立，有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开北方风气之先，立中国兵船之本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，其很快引起各国政府的关注。英</w:t>
      </w:r>
    </w:p>
    <w:p w14:paraId="7420DB2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美驻华领事向本国政府报告了天津水师学堂学生的选拔、课程训练以及成绩情况。据此推知，西方列强（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AB98B7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介入晚清军事改革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积极维护在华利益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关注中国新式教育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注重收集中国信息</w:t>
      </w:r>
    </w:p>
    <w:p w14:paraId="2D20B7C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下图为</w:t>
      </w:r>
      <w:r>
        <w:rPr>
          <w:rFonts w:ascii="Times New Roman"/>
          <w:color w:val="000000"/>
          <w:spacing w:val="0"/>
          <w:sz w:val="21"/>
        </w:rPr>
        <w:t xml:space="preserve"> 20 </w:t>
      </w:r>
      <w:r>
        <w:rPr>
          <w:rFonts w:ascii="宋体" w:hAnsi="宋体" w:cs="宋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20</w:t>
      </w:r>
      <w:r>
        <w:rPr>
          <w:rFonts w:ascii="宋体" w:hAnsi="宋体" w:cs="宋体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0"/>
          <w:sz w:val="21"/>
        </w:rPr>
        <w:t xml:space="preserve">30 </w:t>
      </w:r>
      <w:r>
        <w:rPr>
          <w:rFonts w:ascii="宋体" w:hAnsi="宋体" w:cs="宋体"/>
          <w:color w:val="000000"/>
          <w:spacing w:val="0"/>
          <w:sz w:val="21"/>
        </w:rPr>
        <w:t>年代（</w:t>
      </w:r>
      <w:r>
        <w:rPr>
          <w:rFonts w:ascii="Times New Roman"/>
          <w:color w:val="000000"/>
          <w:spacing w:val="0"/>
          <w:sz w:val="21"/>
        </w:rPr>
        <w:t>1927</w:t>
      </w:r>
      <w:r>
        <w:rPr>
          <w:rFonts w:ascii="宋体" w:hAnsi="宋体" w:cs="宋体"/>
          <w:color w:val="000000"/>
          <w:spacing w:val="0"/>
          <w:sz w:val="21"/>
        </w:rPr>
        <w:t>—</w:t>
      </w:r>
      <w:r>
        <w:rPr>
          <w:rFonts w:ascii="Times New Roman"/>
          <w:color w:val="000000"/>
          <w:spacing w:val="0"/>
          <w:sz w:val="21"/>
        </w:rPr>
        <w:t xml:space="preserve">1936 </w:t>
      </w:r>
      <w:r>
        <w:rPr>
          <w:rFonts w:ascii="宋体" w:hAnsi="宋体" w:cs="宋体"/>
          <w:color w:val="000000"/>
          <w:spacing w:val="0"/>
          <w:sz w:val="21"/>
        </w:rPr>
        <w:t>年）中国银进出口量的统计变化图。这反映了当时（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ACBE92A">
      <w:pPr>
        <w:spacing w:before="303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延缓经济危机的影响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金本位制的放弃</w:t>
      </w:r>
    </w:p>
    <w:p w14:paraId="1E1C0A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白银外流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金融动荡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法币政策的出台</w:t>
      </w:r>
    </w:p>
    <w:p w14:paraId="686DAE6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抗战时期，根据地物价上涨、人口减少，民众生活困难。根据地鼓励民众破坏日军</w:t>
      </w:r>
      <w:r>
        <w:rPr>
          <w:rFonts w:ascii="Times New Roman"/>
          <w:color w:val="000000"/>
          <w:spacing w:val="159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铁轨等设施，并高</w:t>
      </w:r>
    </w:p>
    <w:p w14:paraId="64E946C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价进行收购。这（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85D7D0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保障了根据地的生产</w:t>
      </w:r>
      <w:r>
        <w:rPr>
          <w:rFonts w:ascii="Times New Roman"/>
          <w:color w:val="000000"/>
          <w:spacing w:val="1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解决了民众困难状况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破坏了以战养战政策</w:t>
      </w:r>
      <w:r>
        <w:rPr>
          <w:rFonts w:ascii="Times New Roman"/>
          <w:color w:val="000000"/>
          <w:spacing w:val="19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扩大了中共的影响力</w:t>
      </w:r>
    </w:p>
    <w:p w14:paraId="2D92429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西藏和平解放初期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连路都没有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；</w:t>
      </w:r>
      <w:r>
        <w:rPr>
          <w:rFonts w:ascii="Times New Roman"/>
          <w:color w:val="000000"/>
          <w:spacing w:val="0"/>
          <w:sz w:val="21"/>
        </w:rPr>
        <w:t xml:space="preserve">1965 </w:t>
      </w:r>
      <w:r>
        <w:rPr>
          <w:rFonts w:ascii="宋体" w:hAnsi="宋体" w:cs="宋体"/>
          <w:color w:val="000000"/>
          <w:spacing w:val="0"/>
          <w:sz w:val="21"/>
        </w:rPr>
        <w:t>年后，西藏不仅修建了新的公路，拥有了柏油路，同时还大量</w:t>
      </w:r>
    </w:p>
    <w:p w14:paraId="44E5595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建设了文化馆、电影院等众多基础配套设施。这主要得益于（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573141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建立西藏民族区域自治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西藏地区人口数量增多</w:t>
      </w:r>
    </w:p>
    <w:p w14:paraId="1D68EDC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基础设施建设技术进步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民族团结互助事业发展</w:t>
      </w:r>
    </w:p>
    <w:p w14:paraId="7F0E604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某学者研究某一文明时说道：公元前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千纪早期，该地以牛为主，其次是羊和马；到公元前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千纪晚</w:t>
      </w:r>
    </w:p>
    <w:p w14:paraId="7E52C06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期，牛的数量下降，羊、马和御马工具增多。这说明了该文明（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A6FEFE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游牧经济发展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定居人数显著增加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早期国家形成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农耕经济占据主导</w:t>
      </w:r>
    </w:p>
    <w:p w14:paraId="14193EF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13. 1066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年，英国国王爱德华去世。诺曼征服后，国王逐渐被神圣化。</w:t>
      </w:r>
      <w:r>
        <w:rPr>
          <w:rFonts w:ascii="Times New Roman"/>
          <w:color w:val="000000"/>
          <w:spacing w:val="-3"/>
          <w:sz w:val="21"/>
        </w:rPr>
        <w:t>1161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年，在英王和威斯敏斯特修道</w:t>
      </w:r>
    </w:p>
    <w:p w14:paraId="28CFC55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院共同助推下册封爱德华</w:t>
      </w:r>
      <w:r>
        <w:rPr>
          <w:rFonts w:ascii="Times New Roman"/>
          <w:color w:val="000000"/>
          <w:spacing w:val="30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圣徒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。这反映了当时（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692EE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教权王权的相互利用</w:t>
      </w:r>
      <w:r>
        <w:rPr>
          <w:rFonts w:ascii="Times New Roman"/>
          <w:color w:val="000000"/>
          <w:spacing w:val="1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教会派系之间的斗争</w:t>
      </w:r>
      <w:r>
        <w:rPr>
          <w:rFonts w:ascii="Times New Roman"/>
          <w:color w:val="000000"/>
          <w:spacing w:val="1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专制王权的形成过程</w:t>
      </w:r>
      <w:r>
        <w:rPr>
          <w:rFonts w:ascii="Times New Roman"/>
          <w:color w:val="000000"/>
          <w:spacing w:val="19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民族独立教会的形成</w:t>
      </w:r>
    </w:p>
    <w:p w14:paraId="2C83E6B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14. 1613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年，日本仙台大名伊达政宗派使团前往西班牙，希望与西班牙建立贸易关系。伊达政宗并承诺愿</w:t>
      </w:r>
    </w:p>
    <w:p w14:paraId="50DB0A3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意帮助西班牙抵制荷兰与英国。这反映了当时（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254EA4F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815B35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08631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F24BFA2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8" o:spid="_x0000_s1038" o:spt="75" type="#_x0000_t75" style="position:absolute;left:0pt;margin-left:404.15pt;margin-top:72.55pt;height:2.75pt;width:2.7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47pt;margin-top:134.85pt;height:475.55pt;width:490.4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西班牙在亚洲势力消长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天皇具有象征权力</w:t>
      </w:r>
    </w:p>
    <w:p w14:paraId="4FF1FBD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大名与幕府之间的矛盾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英荷利益日趋相同</w:t>
      </w:r>
    </w:p>
    <w:p w14:paraId="19CF98B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图表为近代以来不同时期印度作品。这反映了（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95E2678">
      <w:pPr>
        <w:spacing w:before="327" w:after="0" w:line="220" w:lineRule="exact"/>
        <w:ind w:left="26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时间阶段</w:t>
      </w:r>
      <w:r>
        <w:rPr>
          <w:rFonts w:ascii="Times New Roman"/>
          <w:color w:val="000000"/>
          <w:spacing w:val="6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作品名</w:t>
      </w:r>
      <w:r>
        <w:rPr>
          <w:rFonts w:ascii="Times New Roman"/>
          <w:color w:val="000000"/>
          <w:spacing w:val="273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作品简介</w:t>
      </w:r>
      <w:r>
        <w:rPr>
          <w:rFonts w:ascii="Times New Roman"/>
          <w:color w:val="000000"/>
          <w:spacing w:val="255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书写语言</w:t>
      </w:r>
    </w:p>
    <w:p w14:paraId="11E47714">
      <w:pPr>
        <w:spacing w:before="413" w:after="0" w:line="220" w:lineRule="exact"/>
        <w:ind w:left="169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《琼基拉</w:t>
      </w:r>
    </w:p>
    <w:p w14:paraId="58CBB7A1">
      <w:pPr>
        <w:spacing w:before="3" w:after="0" w:line="243" w:lineRule="exact"/>
        <w:ind w:left="287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亨利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代罗兹奥作，揭露婆罗门寡妇的悲惨命运，批判种姓制</w:t>
      </w:r>
    </w:p>
    <w:p w14:paraId="421CC196">
      <w:pPr>
        <w:spacing w:before="140" w:after="0" w:line="83" w:lineRule="exact"/>
        <w:ind w:left="26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14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的托钵</w:t>
      </w:r>
      <w:r>
        <w:rPr>
          <w:rFonts w:ascii="Times New Roman"/>
          <w:color w:val="000000"/>
          <w:spacing w:val="64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英语</w:t>
      </w:r>
      <w:r>
        <w:rPr>
          <w:rFonts w:ascii="宋体" w:hAnsi="宋体" w:cs="宋体"/>
          <w:color w:val="000000"/>
          <w:spacing w:val="0"/>
          <w:sz w:val="21"/>
        </w:rPr>
        <w:cr/>
      </w:r>
      <w:r>
        <w:rPr>
          <w:rFonts w:ascii="宋体" w:hAnsi="宋体" w:cs="宋体"/>
          <w:color w:val="000000"/>
          <w:spacing w:val="0"/>
          <w:sz w:val="21"/>
        </w:rPr>
        <w:t>殖民时期</w:t>
      </w:r>
    </w:p>
    <w:p w14:paraId="19F2B669">
      <w:pPr>
        <w:spacing w:before="0" w:after="0" w:line="234" w:lineRule="exact"/>
        <w:ind w:left="1904" w:right="4827" w:firstLine="3526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度。 僧》</w:t>
      </w:r>
    </w:p>
    <w:p w14:paraId="5D7D01ED">
      <w:pPr>
        <w:spacing w:before="0" w:after="0" w:line="243" w:lineRule="exact"/>
        <w:ind w:left="2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1850-1910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6C55C6B">
      <w:pPr>
        <w:spacing w:before="308" w:after="0" w:line="243" w:lineRule="exact"/>
        <w:ind w:left="169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《觉醒》</w:t>
      </w:r>
      <w:r>
        <w:rPr>
          <w:rFonts w:ascii="Times New Roman"/>
          <w:color w:val="000000"/>
          <w:spacing w:val="2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帕德马纳班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萨斯特里用梵语写的社会改革剧，呼吁女性教育</w:t>
      </w:r>
      <w:r>
        <w:rPr>
          <w:rFonts w:ascii="Times New Roman"/>
          <w:color w:val="000000"/>
          <w:spacing w:val="4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梵语</w:t>
      </w:r>
    </w:p>
    <w:p w14:paraId="768D8B95">
      <w:pPr>
        <w:spacing w:before="399" w:after="0" w:line="234" w:lineRule="exact"/>
        <w:ind w:left="26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民族独立</w:t>
      </w:r>
      <w:r>
        <w:rPr>
          <w:rFonts w:ascii="Times New Roman"/>
          <w:color w:val="000000"/>
          <w:spacing w:val="17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穆尔克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安纳德作，展现殖民统治下劳工的剥削，推动进步作</w:t>
      </w:r>
      <w:r>
        <w:rPr>
          <w:rFonts w:ascii="宋体" w:hAnsi="宋体" w:cs="宋体"/>
          <w:color w:val="000000"/>
          <w:spacing w:val="0"/>
          <w:sz w:val="21"/>
        </w:rPr>
        <w:cr/>
      </w:r>
      <w:r>
        <w:rPr>
          <w:rFonts w:ascii="Times New Roman"/>
          <w:color w:val="000000"/>
          <w:spacing w:val="13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《苦力》</w:t>
      </w:r>
      <w:r>
        <w:rPr>
          <w:rFonts w:ascii="Times New Roman"/>
          <w:color w:val="000000"/>
          <w:spacing w:val="629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英语</w:t>
      </w:r>
      <w:r>
        <w:rPr>
          <w:rFonts w:ascii="宋体" w:hAnsi="宋体" w:cs="宋体"/>
          <w:color w:val="000000"/>
          <w:spacing w:val="0"/>
          <w:sz w:val="21"/>
        </w:rPr>
        <w:cr/>
      </w:r>
      <w:r>
        <w:rPr>
          <w:rFonts w:ascii="宋体" w:hAnsi="宋体" w:cs="宋体"/>
          <w:color w:val="000000"/>
          <w:spacing w:val="0"/>
          <w:sz w:val="21"/>
        </w:rPr>
        <w:t>运动时期</w:t>
      </w:r>
      <w:r>
        <w:rPr>
          <w:rFonts w:ascii="Times New Roman"/>
          <w:color w:val="000000"/>
          <w:spacing w:val="363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家协会反帝斗争。</w:t>
      </w:r>
    </w:p>
    <w:p w14:paraId="7F702E98">
      <w:pPr>
        <w:spacing w:before="413" w:after="0" w:line="220" w:lineRule="exact"/>
        <w:ind w:left="179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《可番</w:t>
      </w:r>
      <w:r>
        <w:rPr>
          <w:rFonts w:ascii="Times New Roman"/>
          <w:color w:val="000000"/>
          <w:spacing w:val="369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普列姆昌德短篇经典，懒汉父子挪用妻子裹尸布买酒，讽刺底</w:t>
      </w:r>
    </w:p>
    <w:p w14:paraId="6D147D09">
      <w:pPr>
        <w:spacing w:before="3" w:after="0" w:line="243" w:lineRule="exact"/>
        <w:ind w:left="2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1910-1947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73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印地语</w:t>
      </w:r>
    </w:p>
    <w:p w14:paraId="4EDA721A">
      <w:pPr>
        <w:spacing w:before="3" w:after="0" w:line="220" w:lineRule="exact"/>
        <w:ind w:left="190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布》</w:t>
      </w:r>
      <w:r>
        <w:rPr>
          <w:rFonts w:ascii="Times New Roman"/>
          <w:color w:val="000000"/>
          <w:spacing w:val="23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层麻木与女性苦难。</w:t>
      </w:r>
    </w:p>
    <w:p w14:paraId="77A2BB65">
      <w:pPr>
        <w:spacing w:before="411" w:after="0" w:line="234" w:lineRule="exact"/>
        <w:ind w:left="269" w:right="2247" w:firstLine="2583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拉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克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-5"/>
          <w:sz w:val="21"/>
        </w:rPr>
        <w:t>纳拉扬以南印虚构小镇为背景，通过骗子变</w:t>
      </w:r>
      <w:r>
        <w:rPr>
          <w:rFonts w:ascii="Times New Roman"/>
          <w:color w:val="000000"/>
          <w:spacing w:val="0"/>
          <w:sz w:val="21"/>
        </w:rPr>
        <w:t>'</w:t>
      </w:r>
      <w:r>
        <w:rPr>
          <w:rFonts w:ascii="宋体" w:hAnsi="宋体" w:cs="宋体"/>
          <w:color w:val="000000"/>
          <w:spacing w:val="0"/>
          <w:sz w:val="21"/>
        </w:rPr>
        <w:t>圣人</w:t>
      </w:r>
      <w:r>
        <w:rPr>
          <w:rFonts w:ascii="Times New Roman"/>
          <w:color w:val="000000"/>
          <w:spacing w:val="0"/>
          <w:sz w:val="21"/>
        </w:rPr>
        <w:t>'</w:t>
      </w:r>
      <w:r>
        <w:rPr>
          <w:rFonts w:ascii="宋体" w:hAnsi="宋体" w:cs="宋体"/>
          <w:color w:val="000000"/>
          <w:spacing w:val="0"/>
          <w:sz w:val="21"/>
        </w:rPr>
        <w:t>的荒诞 独立初期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《向导》</w:t>
      </w:r>
    </w:p>
    <w:p w14:paraId="20B29C47">
      <w:pPr>
        <w:spacing w:before="14" w:after="0" w:line="220" w:lineRule="exact"/>
        <w:ind w:left="511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讽刺社会。</w:t>
      </w:r>
    </w:p>
    <w:p w14:paraId="0ECBB1F2">
      <w:pPr>
        <w:spacing w:before="411" w:after="0" w:line="234" w:lineRule="exact"/>
        <w:ind w:left="0" w:right="2294" w:firstLine="2851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巴巴尼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巴达查里雅描写独立后饥荒问题，批判新政府治理失 （</w:t>
      </w:r>
      <w:r>
        <w:rPr>
          <w:rFonts w:ascii="Times New Roman"/>
          <w:color w:val="000000"/>
          <w:spacing w:val="0"/>
          <w:sz w:val="21"/>
        </w:rPr>
        <w:t>1947-1980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2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《饥饿》</w:t>
      </w:r>
    </w:p>
    <w:p w14:paraId="4C36435E">
      <w:pPr>
        <w:spacing w:before="3" w:after="0" w:line="220" w:lineRule="exact"/>
        <w:ind w:left="285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效。</w:t>
      </w:r>
    </w:p>
    <w:p w14:paraId="0D5A981E">
      <w:pPr>
        <w:spacing w:before="97" w:after="0" w:line="220" w:lineRule="exact"/>
        <w:ind w:left="888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英语</w:t>
      </w:r>
    </w:p>
    <w:p w14:paraId="0AA421E3">
      <w:pPr>
        <w:spacing w:before="94" w:after="0" w:line="234" w:lineRule="exact"/>
        <w:ind w:left="0" w:right="2294" w:firstLine="1606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《午夜的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萨尔曼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拉什迪魔幻现实主义巨著，以儿童异能隐喻印巴分治 当代</w:t>
      </w:r>
    </w:p>
    <w:p w14:paraId="3337D9AB">
      <w:pPr>
        <w:spacing w:before="14" w:after="0" w:line="220" w:lineRule="exact"/>
        <w:ind w:left="160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孩子》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创伤，获布克奖。</w:t>
      </w:r>
    </w:p>
    <w:p w14:paraId="0BE0DC74">
      <w:pPr>
        <w:spacing w:before="411" w:after="0" w:line="234" w:lineRule="exact"/>
        <w:ind w:left="0" w:right="2294" w:firstLine="2851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阿维德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阿迪加以仆人弑主逆袭故事，揭露全球化中印度贫富 （</w:t>
      </w:r>
      <w:r>
        <w:rPr>
          <w:rFonts w:ascii="Times New Roman"/>
          <w:color w:val="000000"/>
          <w:spacing w:val="0"/>
          <w:sz w:val="21"/>
        </w:rPr>
        <w:t xml:space="preserve">1980 </w:t>
      </w:r>
      <w:r>
        <w:rPr>
          <w:rFonts w:ascii="宋体" w:hAnsi="宋体" w:cs="宋体"/>
          <w:color w:val="000000"/>
          <w:spacing w:val="0"/>
          <w:sz w:val="21"/>
        </w:rPr>
        <w:t>至今）</w:t>
      </w:r>
      <w:r>
        <w:rPr>
          <w:rFonts w:ascii="Times New Roman"/>
          <w:color w:val="000000"/>
          <w:spacing w:val="24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《白虎》</w:t>
      </w:r>
    </w:p>
    <w:p w14:paraId="5E780105">
      <w:pPr>
        <w:spacing w:before="3" w:after="0" w:line="220" w:lineRule="exact"/>
        <w:ind w:left="285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撕裂。</w:t>
      </w:r>
    </w:p>
    <w:p w14:paraId="6AEF1158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殖民统治下文化转型的复杂性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奠定多民族多语言格局</w:t>
      </w:r>
    </w:p>
    <w:p w14:paraId="50CA8F3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历史书写中民族意识的形成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民族语言转变为英语</w:t>
      </w:r>
    </w:p>
    <w:p w14:paraId="627994E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16. 20 </w:t>
      </w:r>
      <w:r>
        <w:rPr>
          <w:rFonts w:ascii="宋体" w:hAnsi="宋体" w:cs="宋体"/>
          <w:color w:val="000000"/>
          <w:spacing w:val="0"/>
          <w:sz w:val="21"/>
        </w:rPr>
        <w:t>世纪时欧美棉纺织厂繁荣发展，而到了</w:t>
      </w:r>
      <w:r>
        <w:rPr>
          <w:rFonts w:ascii="Times New Roman"/>
          <w:color w:val="000000"/>
          <w:spacing w:val="0"/>
          <w:sz w:val="21"/>
        </w:rPr>
        <w:t xml:space="preserve"> 21 </w:t>
      </w:r>
      <w:r>
        <w:rPr>
          <w:rFonts w:ascii="宋体" w:hAnsi="宋体" w:cs="宋体"/>
          <w:color w:val="000000"/>
          <w:spacing w:val="0"/>
          <w:sz w:val="21"/>
        </w:rPr>
        <w:t>世纪初却转移到亚洲，原来的这些工厂则转变成了博物馆。</w:t>
      </w:r>
    </w:p>
    <w:p w14:paraId="470E8B3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这反映出（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633576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文物保护促进产业转移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经济全球化促进新国际分工</w:t>
      </w:r>
    </w:p>
    <w:p w14:paraId="3EE18D61">
      <w:pPr>
        <w:spacing w:before="48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37B082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25A156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FC782E4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1" o:spid="_x0000_s1041" o:spt="75" type="#_x0000_t75" style="position:absolute;left:0pt;margin-left:404.15pt;margin-top:72.55pt;height:2.75pt;width:2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212.1pt;margin-top:473.3pt;height:5.75pt;width: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116.8pt;margin-top:769.7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产业升级推动全球生产链重组</w:t>
      </w:r>
      <w:r>
        <w:rPr>
          <w:rFonts w:ascii="Times New Roman"/>
          <w:color w:val="000000"/>
          <w:spacing w:val="17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美国发展转向第三产业主导</w:t>
      </w:r>
    </w:p>
    <w:p w14:paraId="4A62FFAD">
      <w:pPr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</w:t>
      </w:r>
      <w:r>
        <w:rPr>
          <w:rFonts w:ascii="Times New Roman"/>
          <w:b/>
          <w:color w:val="000000"/>
          <w:spacing w:val="-1"/>
          <w:sz w:val="24"/>
        </w:rPr>
        <w:t>17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题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8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</w:t>
      </w:r>
      <w:r>
        <w:rPr>
          <w:rFonts w:ascii="Times New Roman"/>
          <w:b/>
          <w:color w:val="000000"/>
          <w:spacing w:val="-1"/>
          <w:sz w:val="24"/>
        </w:rPr>
        <w:t>18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题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8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</w:t>
      </w:r>
      <w:r>
        <w:rPr>
          <w:rFonts w:ascii="Times New Roman"/>
          <w:b/>
          <w:color w:val="000000"/>
          <w:spacing w:val="-1"/>
          <w:sz w:val="24"/>
        </w:rPr>
        <w:t>19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题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</w:t>
      </w:r>
      <w:r>
        <w:rPr>
          <w:rFonts w:ascii="Times New Roman"/>
          <w:b/>
          <w:color w:val="000000"/>
          <w:spacing w:val="-1"/>
          <w:sz w:val="24"/>
        </w:rPr>
        <w:t>20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题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11CB1BEC"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195FB135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材料：新中国成立后外交官的选拔主要来自军队，其严格的纪律、组织要求成为当时录用参考标准。</w:t>
      </w:r>
    </w:p>
    <w:p w14:paraId="7F3159D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改革开放后，选官方式发生转变，即主要从高校选拔相关人才，其对专业化能力的要求愈发凸显，特别是</w:t>
      </w:r>
    </w:p>
    <w:p w14:paraId="7815D7F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80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年代后，伴随国家公务员制度的建立，引入相关考试制度，从更广泛的高校中选拔人才。</w:t>
      </w:r>
    </w:p>
    <w:p w14:paraId="6A085C8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根据材料并结合所学知识，概括改革开放后外交官选拔标准变化的历史背景，并说明中华人民共和国成立</w:t>
      </w:r>
    </w:p>
    <w:p w14:paraId="7437D8E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后外交官选拔录用的经验。</w:t>
      </w:r>
    </w:p>
    <w:p w14:paraId="29D013D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5128E8C8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-4"/>
          <w:sz w:val="21"/>
        </w:rPr>
        <w:t>大流士：“在我到来之前，没有人敢反抗，我找来了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位波斯人一起发起反抗，该地区本是我</w:t>
      </w:r>
    </w:p>
    <w:p w14:paraId="42CFE59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2"/>
          <w:sz w:val="21"/>
        </w:rPr>
        <w:t>族之地、王权至上，以我亲手杀死了高墨达和他的追随者，神佑我成为了国王，夺回了王国为终。”</w:t>
      </w:r>
    </w:p>
    <w:p w14:paraId="12CDC4B5">
      <w:pPr>
        <w:spacing w:before="248" w:after="0" w:line="220" w:lineRule="exact"/>
        <w:ind w:left="523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据记录大流士功绩的崖刻《贝希斯吞铭文》</w:t>
      </w:r>
    </w:p>
    <w:p w14:paraId="4D7C112D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波斯贵族欧塔涅斯的女儿是冈比西斯的王妃，她发现新皇帝（高墨达）没有耳朵，欧塔涅斯由</w:t>
      </w:r>
    </w:p>
    <w:p w14:paraId="68CB6F2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此断定新皇帝是曾被割耳的僧侣高墨达。欧塔涅斯找来了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位波斯人，这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位波斯人再分别找来了他们最</w:t>
      </w:r>
    </w:p>
    <w:p w14:paraId="29244A0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信任的人，最终共有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位波斯人，他们决定发动政变。这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位波斯人决定让大流士加入政变，在叛乱平定</w:t>
      </w:r>
    </w:p>
    <w:p w14:paraId="12EC2A2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后，6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位波斯人决定推选大流士成为国王。</w:t>
      </w:r>
    </w:p>
    <w:p w14:paraId="2F08900F">
      <w:pPr>
        <w:spacing w:before="248" w:after="0" w:line="220" w:lineRule="exact"/>
        <w:ind w:left="733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据《希罗多德历史》</w:t>
      </w:r>
    </w:p>
    <w:p w14:paraId="069296B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）根据材料并结合所学知识，比较两则材料的不同之处。</w:t>
      </w:r>
    </w:p>
    <w:p w14:paraId="4BFC198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）根据材料，通过两则材料的相同之处，对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高墨达政变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进行探究。</w:t>
      </w:r>
    </w:p>
    <w:p w14:paraId="381CF4F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203947D9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古埃及象形文字因文明中断而长期湮没。18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世纪末，随拿破仑军队入侵埃及的学者发现罗塞</w:t>
      </w:r>
    </w:p>
    <w:p w14:paraId="664593C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塔石碑，为破译提供关键实物。此后瑞典、法国、英国等多国学者通过符号分类、对照释读等方法协作研</w:t>
      </w:r>
    </w:p>
    <w:p w14:paraId="523DACF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究，历时二十余年最终由商博良基本破译。</w:t>
      </w:r>
    </w:p>
    <w:p w14:paraId="7F7FC496">
      <w:pPr>
        <w:spacing w:before="248" w:after="0" w:line="220" w:lineRule="exact"/>
        <w:ind w:left="659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——据刘文鹏《古代埃及史》整理</w:t>
      </w:r>
    </w:p>
    <w:p w14:paraId="2352840E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1899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年，王懿荣辨识中药"龙骨"上的刻痕为商代文字，甲骨文重见天日。罗振玉考订其出土</w:t>
      </w:r>
    </w:p>
    <w:p w14:paraId="0BC817C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地为殷墟，王国维以甲骨证史补史。1928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年起，中央研究院对殷墟开展系统发掘，出土大量有地层记录的</w:t>
      </w:r>
    </w:p>
    <w:p w14:paraId="418CA9D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甲骨，结合乾嘉学派考据传统，推动甲骨学成为国际显学。</w:t>
      </w:r>
    </w:p>
    <w:p w14:paraId="1D7A4EBE">
      <w:pPr>
        <w:spacing w:before="248" w:after="0" w:line="220" w:lineRule="exact"/>
        <w:ind w:left="659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——据陈梦家《殷墟卜辞综述》等</w:t>
      </w:r>
    </w:p>
    <w:p w14:paraId="75D8664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）根据材料一并结合所学知识，概括古埃及文明中象形文字解析的背景和特点，并分析其积极意义。</w:t>
      </w:r>
    </w:p>
    <w:p w14:paraId="1A3AB2E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）根据材料二并结合所学知识，分析甲骨文研究的历史条件。</w:t>
      </w:r>
    </w:p>
    <w:p w14:paraId="2DD232ED">
      <w:pPr>
        <w:spacing w:before="20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445FB8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CD9749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B2FE44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44" o:spid="_x0000_s1044" o:spt="75" type="#_x0000_t75" style="position:absolute;left:0pt;margin-left:404.15pt;margin-top:72.55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212.1pt;margin-top:473.3pt;height:5.75pt;width: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）根据材料并结合所学知识，谈谈汉字对中华文明的意义。</w:t>
      </w:r>
    </w:p>
    <w:p w14:paraId="6F3C191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1ECDC51C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为庆祝中法建交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60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周年暨中法文化旅游年，在中国国家文物局与法国文化部指导下，“中国·</w:t>
      </w:r>
    </w:p>
    <w:p w14:paraId="17C6B0F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唐——一个多元开放的朝代（7</w:t>
      </w:r>
      <w:r>
        <w:rPr>
          <w:rFonts w:ascii="Times New Roman"/>
          <w:color w:val="000000"/>
          <w:spacing w:val="5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至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-26"/>
          <w:sz w:val="21"/>
        </w:rPr>
        <w:t>世纪）”</w:t>
      </w:r>
      <w:r>
        <w:rPr>
          <w:rFonts w:ascii="Times New Roman"/>
          <w:color w:val="000000"/>
          <w:spacing w:val="79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展在法国吉美国立亚洲艺术博物馆举行。展览以中国历史</w:t>
      </w:r>
    </w:p>
    <w:p w14:paraId="4502986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上疆域辽阔、政治开明、经济发展、文化繁荣、民族多元交融著称的唐代为主题，分为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“走近大唐”“长</w:t>
      </w:r>
    </w:p>
    <w:p w14:paraId="2A0C89C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安：世界上最大的城市”“乐居长安”“海纳百川”“文人世界”“技臻于美”“大唐丝路”“扬帆出海，</w:t>
      </w:r>
    </w:p>
    <w:p w14:paraId="4F00798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联通世界”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八个单元，展现大唐璀璨文明成果及其深远的历史影响，为法国观众献上来自大唐盛世的文化</w:t>
      </w:r>
    </w:p>
    <w:p w14:paraId="3162A0D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与美学盛宴。</w:t>
      </w:r>
    </w:p>
    <w:p w14:paraId="667F38A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参照该博物馆的策展思路，任选一个或多个朝代，自拟主题，进行单元设计并说明设计理由。（要求：明确</w:t>
      </w:r>
    </w:p>
    <w:p w14:paraId="3591F36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主题，至少有三个单元设计；观点明确，史论结合，不得照抄材料。）</w:t>
      </w:r>
    </w:p>
    <w:p w14:paraId="15C88DD2">
      <w:pPr>
        <w:spacing w:before="948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1AF3C0DF-9A06-4C62-B878-11B068EB285B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49272079-D50A-4D11-8CA5-E58CE4995F3E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6D9996F6-408D-470F-A804-449DEED3829D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CF3C12E4-407A-4EBE-BEC6-09155E6AF10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FB28A50A-1116-467C-94DF-18BA551A503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49116D2B-1C9B-4200-8B05-C42E42827143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59159339-FAF4-4FCB-9ABE-E8F325910E92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F806F823-FC9C-4115-8524-7D483365EF1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54A45C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D20B1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CE138C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1A4AB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939E5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AB3DC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18371B5A"/>
    <w:rsid w:val="42EC7284"/>
    <w:rsid w:val="7AD37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 w:line="259" w:lineRule="auto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0.jpeg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jpeg"/><Relationship Id="rId15" Type="http://schemas.openxmlformats.org/officeDocument/2006/relationships/image" Target="media/image4.jpeg"/><Relationship Id="rId14" Type="http://schemas.openxmlformats.org/officeDocument/2006/relationships/image" Target="media/image3.jpeg"/><Relationship Id="rId13" Type="http://schemas.openxmlformats.org/officeDocument/2006/relationships/image" Target="media/image2.jpe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gunxue</Company>
  <Pages>10</Pages>
  <Words>3422</Words>
  <Characters>3593</Characters>
  <Lines>3</Lines>
  <Paragraphs>121</Paragraphs>
  <TotalTime>3</TotalTime>
  <ScaleCrop>false</ScaleCrop>
  <LinksUpToDate>false</LinksUpToDate>
  <CharactersWithSpaces>3854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2025-07-28T09:54:00Z</dcterms:created>
  <dc:creator>xiaoqiao</dc:creator>
  <cp:lastModifiedBy>上帝掷骰子吗</cp:lastModifiedBy>
  <dcterms:modified xsi:type="dcterms:W3CDTF">2026-02-10T06:55:24Z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18E1FED83EFC471DBA5599C7034EF1A0_12</vt:lpwstr>
  </property>
</Properties>
</file>