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A357DC">
      <w:pPr>
        <w:spacing w:before="0" w:after="0" w:line="325" w:lineRule="exact"/>
        <w:ind w:left="802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47pt;margin-top:447pt;height:191.85pt;width:349.4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年普通高中学业水平选择性考试（甘肃卷）历史试题</w:t>
      </w:r>
    </w:p>
    <w:p w14:paraId="272D89DF">
      <w:pPr>
        <w:spacing w:before="258" w:after="0" w:line="250" w:lineRule="exact"/>
        <w:ind w:left="274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本试卷满分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100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分，考试时间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75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6787BECA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16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48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20F47290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040FC22B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晋南陶寺与陕北石峁是两个并存的区域性文明。据研究，陶寺中期的陶器类型与纹饰较其早期发生了显</w:t>
      </w:r>
    </w:p>
    <w:p w14:paraId="1F75341D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著变化，反而与同时期石峁陶器特征更为接近。陶寺与石峁陶器的趋同表明（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66C8C2E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石峁制陶技术取得突破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陶寺文明陷入衰落阶段</w:t>
      </w:r>
    </w:p>
    <w:p w14:paraId="4B62A5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区域之间文明交流加强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权贵阶层垄断陶器生产</w:t>
      </w:r>
    </w:p>
    <w:p w14:paraId="05C1274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张骞凿空西域，更多的西方物产传入中原。东汉灵帝颇爱胡食，令宫女在皇家苑囿西园开设饮食店，灵</w:t>
      </w:r>
    </w:p>
    <w:p w14:paraId="0E15180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帝扮作客商光顾，以为戏乐。可能出现在西园饮食店的是（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ECF1C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南瓜酥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玉米羹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芝麻饼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烤红薯</w:t>
      </w:r>
    </w:p>
    <w:p w14:paraId="43827FF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顾恺之《洛神赋图》的人物造型以“秀骨清像”为特色，通过衣带飘举、动态舒展来展现“翩若惊鸿，</w:t>
      </w:r>
    </w:p>
    <w:p w14:paraId="6BE03B9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婉若游龙”的神韵。这一绘画风格主要反映了魏晋时期（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B974BC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绘画创作转向山水题材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士人审美追求神韵风骨</w:t>
      </w:r>
    </w:p>
    <w:p w14:paraId="4B8F138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佛教艺术风格占据主导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社会风气崇尚人物品评</w:t>
      </w:r>
    </w:p>
    <w:p w14:paraId="73794B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从下表所载金世宗时交聘史事可知（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721A0C5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时间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</w:t>
      </w:r>
      <w:r>
        <w:rPr>
          <w:rFonts w:ascii="Times New Roman"/>
          <w:color w:val="000000"/>
          <w:spacing w:val="14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南宋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西夏</w:t>
      </w:r>
    </w:p>
    <w:p w14:paraId="737F741D">
      <w:pPr>
        <w:spacing w:before="399" w:after="0" w:line="234" w:lineRule="exact"/>
        <w:ind w:left="0" w:right="4165" w:firstLine="315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遣使贺金正旦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遣使贺金正旦 大定二十年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遣贺宋生日使</w:t>
      </w:r>
    </w:p>
    <w:p w14:paraId="6F00D433">
      <w:pPr>
        <w:spacing w:before="0" w:after="0" w:line="234" w:lineRule="exact"/>
        <w:ind w:left="0" w:right="4165" w:firstLine="315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遣使贺金万春节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遣使贺金万春 （1180）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遣贺夏生日使</w:t>
      </w:r>
    </w:p>
    <w:p w14:paraId="4D776AD2">
      <w:pPr>
        <w:spacing w:before="14" w:after="0" w:line="220" w:lineRule="exact"/>
        <w:ind w:left="315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（金世宗生辰）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节</w:t>
      </w:r>
    </w:p>
    <w:p w14:paraId="7BB71CDC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大定二十九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遣使至宋报哀</w:t>
      </w:r>
      <w:r>
        <w:rPr>
          <w:rFonts w:ascii="Times New Roman"/>
          <w:color w:val="000000"/>
          <w:spacing w:val="24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遣使至金入奠</w:t>
      </w:r>
    </w:p>
    <w:p w14:paraId="10FD6F16">
      <w:pPr>
        <w:spacing w:before="14" w:after="0" w:line="220" w:lineRule="exact"/>
        <w:ind w:left="315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遣使至金吊祭</w:t>
      </w:r>
    </w:p>
    <w:p w14:paraId="076CF9F8">
      <w:pPr>
        <w:spacing w:before="0" w:after="0" w:line="234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遣使至宋贺即</w:t>
      </w:r>
      <w:r>
        <w:rPr>
          <w:rFonts w:ascii="Times New Roman"/>
          <w:color w:val="000000"/>
          <w:spacing w:val="24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遣使至金贺登</w:t>
      </w:r>
      <w:r>
        <w:rPr>
          <w:rFonts w:ascii="宋体" w:hAnsi="宋体" w:cs="宋体"/>
          <w:color w:val="000000"/>
          <w:spacing w:val="0"/>
          <w:sz w:val="21"/>
        </w:rPr>
        <w:cr/>
      </w:r>
      <w:r>
        <w:rPr>
          <w:rFonts w:ascii="Times New Roman"/>
          <w:color w:val="000000"/>
          <w:spacing w:val="30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遣使至金贺登位</w:t>
      </w:r>
    </w:p>
    <w:p w14:paraId="7DB1821E">
      <w:pPr>
        <w:spacing w:before="1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（1189）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</w:t>
      </w:r>
      <w:r>
        <w:rPr>
          <w:rFonts w:ascii="Times New Roman"/>
          <w:color w:val="000000"/>
          <w:spacing w:val="35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</w:t>
      </w:r>
    </w:p>
    <w:p w14:paraId="6AE53DE1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金夏两国全面接受中原礼仪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三国之间经济文化交流频繁</w:t>
      </w:r>
    </w:p>
    <w:p w14:paraId="265466D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多民族政权并立呈交融趋势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南北对峙局面已经得到缓和</w:t>
      </w:r>
    </w:p>
    <w:p w14:paraId="033B995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明朝一度厉行海禁，按照旧例，撒马尔罕入贡由甘肃验送。弘治二年（1489），撒马尔罕派遣使者从海道</w:t>
      </w:r>
    </w:p>
    <w:p w14:paraId="49F48E2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至广东，人贡狮子、鹦鹉等物，朝廷以其贡道不正，遣官阻回。明朝拒贡之举旨在（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1BFC363">
      <w:pPr>
        <w:spacing w:before="39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619785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9BAD61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7E9077D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A640F4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DB785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59.8pt;margin-top:178.35pt;height:8.75pt;width:4.2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53pt;margin-top:217.4pt;height:104.05pt;width:191.1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71.55pt;margin-top:444.75pt;height:16.25pt;width:1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强化边疆管理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减少朝贡频次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复兴丝路贸易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调整海禁政策</w:t>
      </w:r>
    </w:p>
    <w:p w14:paraId="42BAF4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康乾时期，浙江嘉兴府濮院镇“万家烟火，民多织作绸绢为生，为都省商贾往来之会”。镇中有桑叶市</w:t>
      </w:r>
    </w:p>
    <w:p w14:paraId="795699B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场供桑农交易，有丝行专事收购四乡蚕农生丝，有绸行向当地机户收购绸绢。由此可知当时清朝（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2C336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加强了对江南工商业的管理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外地商帮控制江南市镇贸易</w:t>
      </w:r>
    </w:p>
    <w:p w14:paraId="3E4FD820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传统经济结构发生剧烈变动</w:t>
      </w:r>
      <w:r>
        <w:rPr>
          <w:rFonts w:ascii="Times New Roman"/>
          <w:color w:val="000000"/>
          <w:spacing w:val="20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市镇繁荣强化城乡经济联系</w:t>
      </w:r>
    </w:p>
    <w:p w14:paraId="738C9335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1907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年的漫画，据图可知作者意在（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06D008D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支持维新变法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倡导民族团结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警告西方列强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宣传民主革命</w:t>
      </w:r>
    </w:p>
    <w:p w14:paraId="369FD00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近代以来，谭嗣同、康有为、孙中山等人积极提倡向西方学习，同时又都阐述过“大同”理想。孙中山</w:t>
      </w:r>
    </w:p>
    <w:p w14:paraId="0E12854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指出“真正的民生主义，就是孔子所希望之大同世界”。上述材料体现出（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974614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大同思想是中华优秀文化的内涵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中体西用是近代中华文化的潮流</w:t>
      </w:r>
    </w:p>
    <w:p w14:paraId="73EFCED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中华文化的重要特征是民本思想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中华文化的特点是连续性包容性</w:t>
      </w:r>
    </w:p>
    <w:p w14:paraId="7B37714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民族企业家刘鸿生创办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章华毛绒纺织厂，在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年代初连年亏损。后来企业推出品牌名为“九</w:t>
      </w:r>
    </w:p>
    <w:p w14:paraId="72FBED2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一八”的产品，国人竞相购买，企业立时恢复了生机。这一转变说明（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B8DB0F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反帝爱国有助于民族工业发展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产品命名是国货畅销的主因</w:t>
      </w:r>
    </w:p>
    <w:p w14:paraId="2FD55F5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民族经济的发展需要抵制日货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民族企业引入新的经营方式</w:t>
      </w:r>
    </w:p>
    <w:p w14:paraId="209E080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《人民日报》曾刊登《新年唱词》，反映了各阶级的心声。其中，工人说：工业建设顶重要，看谁今年</w:t>
      </w:r>
    </w:p>
    <w:p w14:paraId="521CD2E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搞得棒；农民讲：反霸减租正推广，有田有地有余粮；百货店里胖掌柜想：人民购买力增强，通货不会太</w:t>
      </w:r>
    </w:p>
    <w:p w14:paraId="522CA1A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膨胀。上述唱词反映我国正在（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3675C8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实施“一五”计划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巩固新生人民政权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进行“三大改造”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全面建设社会主义</w:t>
      </w:r>
    </w:p>
    <w:p w14:paraId="3ACDCA6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1989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年，我国国民生产总值比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1978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年增加了四倍多。1990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年北京亚运会期间，全国各地的名优新特产</w:t>
      </w:r>
    </w:p>
    <w:p w14:paraId="4448093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品来京展销，花色品种逾万，几十个国家和地区的十余万游客云集争购。这些经济现象表明当时我国（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6623DF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践行了社会主义初级阶段理论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生产的商品极大丰富畅销全球</w:t>
      </w:r>
    </w:p>
    <w:p w14:paraId="409BDBF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更深层次参与经济全球化进程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建立了社会主义市场经济体制</w:t>
      </w:r>
    </w:p>
    <w:p w14:paraId="0F33581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公元前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至前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世纪，古希腊人的地理认知范围不断拓宽。起初他们将充满风暴和危险的黑海称为“不</w:t>
      </w:r>
    </w:p>
    <w:p w14:paraId="52DB82A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好客海”，但随着航海技术发展，他们改称黑海为“好客海”。黑海称谓变化的深层次原因是占希腊（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B535D85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80165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DADE43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BFF3CE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12.1pt;margin-top:473.3pt;height:5.75pt;width: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66.3pt;margin-top:550.6pt;height:8pt;width:11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殖民范围扩大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文化中心转移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奴隶贸易发达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国家统治稳固</w:t>
      </w:r>
    </w:p>
    <w:p w14:paraId="02D0634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研究指出：自亨利八世改革以来，英国新教与天主教争端不断，直至伊丽莎白一世时期，新教的统治地</w:t>
      </w:r>
    </w:p>
    <w:p w14:paraId="5DEAA78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位才彻底确立；在她治下出现了莎士比亚等诗人和剧作家，同时英国在音乐和哲学方面也达到了创新和活</w:t>
      </w:r>
    </w:p>
    <w:p w14:paraId="2704EE5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力的顶峰。这一论述意在说明英国（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8B8636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文学艺术发展受制于王权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市民文学与骑士文学充分发展</w:t>
      </w:r>
    </w:p>
    <w:p w14:paraId="6406E4B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国教会深受罗马教廷影响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宗教改革为文艺复兴作了铺垫</w:t>
      </w:r>
    </w:p>
    <w:p w14:paraId="7244AE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14. </w:t>
      </w:r>
      <w:r>
        <w:rPr>
          <w:rFonts w:ascii="宋体"/>
          <w:color w:val="000000"/>
          <w:spacing w:val="0"/>
          <w:sz w:val="21"/>
        </w:rPr>
        <w:t>1588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年，为了防止百姓以武犯禁，日本太政大臣丰臣秀吉颁布了《刀狩令》，坚决禁止百姓持有刀、弓、</w:t>
      </w:r>
    </w:p>
    <w:p w14:paraId="0C8D43E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枪等各种武器，所有国主、地方官应尽收民间各类武器上缴。法令施行后，佩带武器成为武士的特权，这</w:t>
      </w:r>
    </w:p>
    <w:p w14:paraId="36F3F59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导致了（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F1902E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武士集团形成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封建军事专制强化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天皇地位巩固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幕府集权统治建立</w:t>
      </w:r>
    </w:p>
    <w:p w14:paraId="443DD68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工业革命之前，人们的工作场所和家庭住所间没有明显界限，家庭成员往往从事相似的工作。工业革命</w:t>
      </w:r>
    </w:p>
    <w:p w14:paraId="222EB03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后，随着工厂的兴起，在许多城市家庭中，丈夫需要早晚往返于工作场所和家庭住所之间，妻儿则待在家</w:t>
      </w:r>
    </w:p>
    <w:p w14:paraId="46D2229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里。上述变化反映出（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56190A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生产技术和专业水平的提高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居住条件和基础设施的改善</w:t>
      </w:r>
    </w:p>
    <w:p w14:paraId="65E2F9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贫富分化和阶级差异的形成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生活空间和劳作方式的改变</w:t>
      </w:r>
    </w:p>
    <w:p w14:paraId="01E8F22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16. </w:t>
      </w:r>
      <w:r>
        <w:rPr>
          <w:rFonts w:ascii="宋体"/>
          <w:color w:val="000000"/>
          <w:spacing w:val="0"/>
          <w:sz w:val="21"/>
        </w:rPr>
        <w:t>1919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年，奥地利首都维也纳出现了燃料短缺。有学者写道：“维也纳的电灯忽明忽暗，电车停运，这都</w:t>
      </w:r>
    </w:p>
    <w:p w14:paraId="489FF9D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是因为原来从北方运来的煤炭现在大部分被一条新的国界挡住了。”这条“新国界”产生的直接原因是</w:t>
      </w:r>
    </w:p>
    <w:p w14:paraId="134AC93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B0473E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德意志帝国建立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奥匈帝国解体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捷克斯洛伐克独立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波兰复国</w:t>
      </w:r>
    </w:p>
    <w:p w14:paraId="77616464">
      <w:pPr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52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8F5AAF1">
      <w:pPr>
        <w:spacing w:before="27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阅读材料，回答问题</w:t>
      </w:r>
    </w:p>
    <w:p w14:paraId="4CCF5986">
      <w:pPr>
        <w:spacing w:before="3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北魏为解决“地有余利，民无余财”的问题，推行均田制，一方面肯定耕者对现有耕地的使</w:t>
      </w:r>
    </w:p>
    <w:p w14:paraId="23CBB7B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用权，另一方面让无地农民有权耕垦荒田。均田制的推行，使无主共比点在游空区银纯合，北它的自耕农</w:t>
      </w:r>
    </w:p>
    <w:p w14:paraId="164D1E2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大为增多，有利于农业生产的恢复发展。</w:t>
      </w:r>
    </w:p>
    <w:p w14:paraId="2F812376">
      <w:pPr>
        <w:spacing w:before="248" w:after="0" w:line="220" w:lineRule="exact"/>
        <w:ind w:left="61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——摘编自《魏晋南北朝隋唐史三论》</w:t>
      </w:r>
    </w:p>
    <w:p w14:paraId="0CB7FE44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西魏北周时，宇文泰置府兵，募百姓充之，使地主武装逐步中央化。隋唐兵制，多袭北周旧</w:t>
      </w:r>
    </w:p>
    <w:p w14:paraId="1604531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制。府兵之制，无事耕于野，有事则命将以出，事解则兵散于府，将归于朝。隋唐府兵，虽未为最理想之</w:t>
      </w:r>
    </w:p>
    <w:p w14:paraId="33044C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制度，而国家统一与民族复兴，与府兵制度之施行有关。</w:t>
      </w:r>
    </w:p>
    <w:p w14:paraId="269E4CAD">
      <w:pPr>
        <w:spacing w:before="248" w:after="0" w:line="220" w:lineRule="exact"/>
        <w:ind w:left="68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——摘编自《府兵制度考释》等</w:t>
      </w:r>
    </w:p>
    <w:p w14:paraId="2EE7D073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38AB39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555922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E55F632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CBCB17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5" w:name="_GoBack"/>
      <w:bookmarkEnd w:id="5"/>
    </w:p>
    <w:p w14:paraId="3172FD27">
      <w:pPr>
        <w:spacing w:before="0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6" o:spid="_x0000_s1046" o:spt="75" type="#_x0000_t75" style="position:absolute;left:0pt;margin-left:404.15pt;margin-top:72.55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212.1pt;margin-top:473.3pt;height:5.75pt;width: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16.8pt;margin-top:769.7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320.9pt;margin-top:186.6pt;height:16.25pt;width:12.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隋炀帝始建进士科。唐制，取士之科，多因隋旧，大要有三：学馆生徒，州县乡贡，皆升于</w:t>
      </w:r>
    </w:p>
    <w:p w14:paraId="41B3F4C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有司而进退之；科目有明经、进士等岁举之常选；天子自诏者曰制举，所以待非常之才焉。进士为时所尚</w:t>
      </w:r>
    </w:p>
    <w:p w14:paraId="4456B75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久矣，是故俊才实在其中。缙绅虽位极人臣，而不由进士者，终不为美。</w:t>
      </w:r>
    </w:p>
    <w:p w14:paraId="41E12AFD">
      <w:pPr>
        <w:spacing w:before="248" w:after="0" w:line="220" w:lineRule="exact"/>
        <w:ind w:left="743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——摘编自《新唐书》等</w:t>
      </w:r>
    </w:p>
    <w:p w14:paraId="27B7E36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）根据材料，概括北朝至唐初制度建设的主要创新点。</w:t>
      </w:r>
    </w:p>
    <w:p w14:paraId="452036F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）根据材料并结合所学，阐释制度沿革与隋唐国家治理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关系。</w:t>
      </w:r>
    </w:p>
    <w:p w14:paraId="1321C2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阅读材料，回答问题。</w:t>
      </w:r>
    </w:p>
    <w:p w14:paraId="2E4CEC92">
      <w:pPr>
        <w:spacing w:before="2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鸦片战争前后，一批爱国者看到外国入侵力量的胁迫，感到对祖国境内一些边疆地区，一些</w:t>
      </w:r>
    </w:p>
    <w:p w14:paraId="0D03407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少数民族，有进行深入研究的迫切需要，于是马上动手来弥补。</w:t>
      </w:r>
    </w:p>
    <w:p w14:paraId="470C255E">
      <w:pPr>
        <w:spacing w:before="248" w:after="0" w:line="220" w:lineRule="exact"/>
        <w:ind w:left="722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——摘编自《赵俪生文集》</w:t>
      </w:r>
    </w:p>
    <w:p w14:paraId="1945100B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九一八事变以后，国难日亟，边疆开发的呼声益甚嚣尘上，研究边疆之学术团体，亦如春笋怒生。全</w:t>
      </w:r>
    </w:p>
    <w:p w14:paraId="1C5EED1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国抗战爆发后，各学术机关相继迁至后方，并获得珍贵的边疆民族材料。</w:t>
      </w:r>
    </w:p>
    <w:p w14:paraId="5737B19C">
      <w:pPr>
        <w:spacing w:before="248" w:after="0" w:line="220" w:lineRule="exact"/>
        <w:ind w:left="722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——摘编自《边政公论》等</w:t>
      </w:r>
    </w:p>
    <w:p w14:paraId="102F598F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建设西北国防，保全西北领土，是开发西北最重大的目标。此外，就民生言，西北物产丰殷，</w:t>
      </w:r>
    </w:p>
    <w:p w14:paraId="618F371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幅员广阔、开发可拓殖增产，使民安居乐业；就文化言，中国文化实由西北而东南，故欲研究固有之文化、</w:t>
      </w:r>
    </w:p>
    <w:p w14:paraId="0EC1C62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非积极开发西北不可；就民族言，西北民族庞杂，苟使交通便利，接触较多，自能融洽一致。</w:t>
      </w:r>
    </w:p>
    <w:p w14:paraId="47967D6A">
      <w:pPr>
        <w:spacing w:before="248" w:after="0" w:line="220" w:lineRule="exact"/>
        <w:ind w:left="628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1932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年《新西北季刊》等</w:t>
      </w:r>
    </w:p>
    <w:p w14:paraId="0C9E4E12">
      <w:pPr>
        <w:spacing w:before="237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1999 </w:t>
      </w:r>
      <w:r>
        <w:rPr>
          <w:rFonts w:ascii="楷体" w:hAnsi="楷体" w:cs="楷体"/>
          <w:color w:val="000000"/>
          <w:spacing w:val="0"/>
          <w:sz w:val="21"/>
        </w:rPr>
        <w:t>年，中共中央、国务院提出：西部大开发战略的提出和实施，有利于完善社会主义市场经济体制；</w:t>
      </w:r>
    </w:p>
    <w:p w14:paraId="75D894C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有利于扩大国内需求；有利于改善全国的生态状况；有利于进一步扩大对外开放。此战略的实施关系到民</w:t>
      </w:r>
    </w:p>
    <w:p w14:paraId="27262DD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族团结、社会稳定和边防巩固，关系到东西部协调发展和最终实现共同富裕。</w:t>
      </w:r>
    </w:p>
    <w:p w14:paraId="44ABE641">
      <w:pPr>
        <w:spacing w:before="248" w:after="0" w:line="220" w:lineRule="exact"/>
        <w:ind w:left="575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——摘编自《中华人民共和国六十年实录》</w:t>
      </w:r>
    </w:p>
    <w:p w14:paraId="07FBB44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）根据材料一并结合所学，概述近代西北研究热出现的历史原因。</w:t>
      </w:r>
    </w:p>
    <w:p w14:paraId="49276C1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）根据材料并结合所学，分析近代以来不同时期国人对西北开发认知的异同。</w:t>
      </w:r>
    </w:p>
    <w:p w14:paraId="1D766BF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阅读材料，回答问题。</w:t>
      </w:r>
    </w:p>
    <w:p w14:paraId="50F10F09">
      <w:pPr>
        <w:spacing w:before="226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1890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楷体" w:hAnsi="楷体" w:cs="楷体"/>
          <w:color w:val="000000"/>
          <w:spacing w:val="-4"/>
          <w:sz w:val="21"/>
        </w:rPr>
        <w:t>年，美国议员麦金莱推动国会通过了新关税法，把平均税率提高到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42</w:t>
      </w:r>
      <w:r>
        <w:rPr>
          <w:rFonts w:ascii="楷体" w:hAnsi="楷体" w:cs="楷体"/>
          <w:color w:val="000000"/>
          <w:spacing w:val="-8"/>
          <w:sz w:val="21"/>
        </w:rPr>
        <w:t>%。但麦金莱于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1897</w:t>
      </w:r>
    </w:p>
    <w:p w14:paraId="1125C6D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年就任总统后，设立专门机构与欧美国家商讨互惠协定，并于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1901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年发表演讲指出“商业战争是不可能获</w:t>
      </w:r>
    </w:p>
    <w:p w14:paraId="11F0ACE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利的，善意和友好贸易关系政策将避免报复行为，互惠条约与时代精神是一致的，报复措施则不是”。</w:t>
      </w:r>
    </w:p>
    <w:p w14:paraId="55275A14">
      <w:pPr>
        <w:spacing w:before="248" w:after="0" w:line="220" w:lineRule="exact"/>
        <w:ind w:left="55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——摘编自《国家财富：美国贸易政治史》等</w:t>
      </w:r>
    </w:p>
    <w:p w14:paraId="7E12CECE">
      <w:pPr>
        <w:spacing w:before="237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1930 </w:t>
      </w:r>
      <w:r>
        <w:rPr>
          <w:rFonts w:ascii="楷体" w:hAnsi="楷体" w:cs="楷体"/>
          <w:color w:val="000000"/>
          <w:spacing w:val="-4"/>
          <w:sz w:val="21"/>
        </w:rPr>
        <w:t>年，胡佛政府通过了《霍利-斯穆特关税法》，再度提高了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1922 </w:t>
      </w:r>
      <w:r>
        <w:rPr>
          <w:rFonts w:ascii="楷体" w:hAnsi="楷体" w:cs="楷体"/>
          <w:color w:val="000000"/>
          <w:spacing w:val="0"/>
          <w:sz w:val="21"/>
        </w:rPr>
        <w:t>年《佛特尼-麦康伯法》</w:t>
      </w:r>
    </w:p>
    <w:p w14:paraId="128B7D2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规定的高关税，把农作物原料的平均税率提高到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48.92</w:t>
      </w:r>
      <w:r>
        <w:rPr>
          <w:rFonts w:ascii="楷体" w:hAnsi="楷体" w:cs="楷体"/>
          <w:color w:val="000000"/>
          <w:spacing w:val="0"/>
          <w:sz w:val="21"/>
        </w:rPr>
        <w:t>%，其他商品的税率提高到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34.3</w:t>
      </w:r>
      <w:r>
        <w:rPr>
          <w:rFonts w:ascii="楷体" w:hAnsi="楷体" w:cs="楷体"/>
          <w:color w:val="000000"/>
          <w:spacing w:val="-1"/>
          <w:sz w:val="21"/>
        </w:rPr>
        <w:t>%。其他国家则采取增</w:t>
      </w:r>
    </w:p>
    <w:p w14:paraId="2230A306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DFFEC8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FF3869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0FC771A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187.35pt;margin-top:269.9pt;height:8pt;width:11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加关税、实行定额进口和公开禁运等报复措施，美国进出口总额急剧下降，加速了经济衰退。</w:t>
      </w:r>
    </w:p>
    <w:p w14:paraId="615CA8B8">
      <w:pPr>
        <w:spacing w:before="248" w:after="0" w:line="220" w:lineRule="exact"/>
        <w:ind w:left="701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——摘编自《美国经济史》等</w:t>
      </w:r>
    </w:p>
    <w:p w14:paraId="60901002">
      <w:pPr>
        <w:spacing w:before="237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1934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-5"/>
          <w:sz w:val="21"/>
        </w:rPr>
        <w:t>年“新政”期间，美国国会通过了《互惠贸易协定法》，规定总统在三年之内，可以不通</w:t>
      </w:r>
    </w:p>
    <w:p w14:paraId="70FD52F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过国会缔结贸易协定，有权提高或降低关税</w:t>
      </w:r>
      <w:r>
        <w:rPr>
          <w:rFonts w:ascii="Times New Roman"/>
          <w:color w:val="000000"/>
          <w:spacing w:val="0"/>
          <w:sz w:val="21"/>
        </w:rPr>
        <w:t xml:space="preserve"> 50</w:t>
      </w:r>
      <w:r>
        <w:rPr>
          <w:rFonts w:ascii="楷体" w:hAnsi="楷体" w:cs="楷体"/>
          <w:color w:val="000000"/>
          <w:spacing w:val="0"/>
          <w:sz w:val="21"/>
        </w:rPr>
        <w:t>%，从而迎来了贸易政策的新时代，美国与</w:t>
      </w:r>
      <w:r>
        <w:rPr>
          <w:rFonts w:ascii="Times New Roman"/>
          <w:color w:val="000000"/>
          <w:spacing w:val="0"/>
          <w:sz w:val="21"/>
        </w:rPr>
        <w:t xml:space="preserve"> 22 </w:t>
      </w:r>
      <w:r>
        <w:rPr>
          <w:rFonts w:ascii="楷体" w:hAnsi="楷体" w:cs="楷体"/>
          <w:color w:val="000000"/>
          <w:spacing w:val="0"/>
          <w:sz w:val="21"/>
        </w:rPr>
        <w:t>个国家签署了</w:t>
      </w:r>
    </w:p>
    <w:p w14:paraId="7E60976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降低关税的贸易协定。据统计，从</w:t>
      </w:r>
      <w:r>
        <w:rPr>
          <w:rFonts w:ascii="Times New Roman"/>
          <w:color w:val="000000"/>
          <w:spacing w:val="0"/>
          <w:sz w:val="21"/>
        </w:rPr>
        <w:t xml:space="preserve"> 1934 </w:t>
      </w:r>
      <w:r>
        <w:rPr>
          <w:rFonts w:ascii="楷体" w:hAnsi="楷体" w:cs="楷体"/>
          <w:color w:val="000000"/>
          <w:spacing w:val="0"/>
          <w:sz w:val="21"/>
        </w:rPr>
        <w:t>年到</w:t>
      </w:r>
      <w:r>
        <w:rPr>
          <w:rFonts w:ascii="Times New Roman"/>
          <w:color w:val="000000"/>
          <w:spacing w:val="0"/>
          <w:sz w:val="21"/>
        </w:rPr>
        <w:t xml:space="preserve"> 1937 </w:t>
      </w:r>
      <w:r>
        <w:rPr>
          <w:rFonts w:ascii="楷体" w:hAnsi="楷体" w:cs="楷体"/>
          <w:color w:val="000000"/>
          <w:spacing w:val="0"/>
          <w:sz w:val="21"/>
        </w:rPr>
        <w:t>年，美国出口额从</w:t>
      </w:r>
      <w:r>
        <w:rPr>
          <w:rFonts w:ascii="Times New Roman"/>
          <w:color w:val="000000"/>
          <w:spacing w:val="0"/>
          <w:sz w:val="21"/>
        </w:rPr>
        <w:t xml:space="preserve"> 21 </w:t>
      </w:r>
      <w:r>
        <w:rPr>
          <w:rFonts w:ascii="楷体" w:hAnsi="楷体" w:cs="楷体"/>
          <w:color w:val="000000"/>
          <w:spacing w:val="0"/>
          <w:sz w:val="21"/>
        </w:rPr>
        <w:t>亿美元增长到</w:t>
      </w:r>
      <w:r>
        <w:rPr>
          <w:rFonts w:ascii="Times New Roman"/>
          <w:color w:val="000000"/>
          <w:spacing w:val="0"/>
          <w:sz w:val="21"/>
        </w:rPr>
        <w:t xml:space="preserve"> 33 </w:t>
      </w:r>
      <w:r>
        <w:rPr>
          <w:rFonts w:ascii="楷体" w:hAnsi="楷体" w:cs="楷体"/>
          <w:color w:val="000000"/>
          <w:spacing w:val="0"/>
          <w:sz w:val="21"/>
        </w:rPr>
        <w:t>亿美元。</w:t>
      </w:r>
    </w:p>
    <w:p w14:paraId="68C75B51">
      <w:pPr>
        <w:spacing w:before="237" w:after="0" w:line="220" w:lineRule="exact"/>
        <w:ind w:left="344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——摘编自《美国商贸政策的制度根源：政治、联盟与国际贸易》等</w:t>
      </w:r>
    </w:p>
    <w:p w14:paraId="5FB5AB4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）根据材料，概述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世纪末至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年代美国关税政策的演变。</w:t>
      </w:r>
    </w:p>
    <w:p w14:paraId="2D272EB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）根据材料并结合所学，总结国际贸易中应遵循的准则。</w:t>
      </w:r>
    </w:p>
    <w:p w14:paraId="73107F9A">
      <w:pPr>
        <w:spacing w:before="2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</w:t>
      </w:r>
    </w:p>
    <w:p w14:paraId="3A138EB3">
      <w:pPr>
        <w:spacing w:before="3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历史是客观真实的存在，对历史的研究和表述，则是历史研究者通过研究工作对客观历史的理解，是</w:t>
      </w:r>
    </w:p>
    <w:p w14:paraId="19DDB51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主观同客观的结合。例如，西汉实施盐铁官营是客观的历史，但《史记》对此政策的批评则体现了司马迁</w:t>
      </w:r>
    </w:p>
    <w:p w14:paraId="3A71813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的个人看法。同时，人们的认识会随着历史的发展而不断发展，同一历史对于不同时代有不同的意义。例</w:t>
      </w:r>
    </w:p>
    <w:p w14:paraId="1D30D55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如，拿破仑在法国大革命时期被很多法国人誉为民族英雄，在波旁王朝复辟后又被一些人看作盗世奸雄，</w:t>
      </w:r>
    </w:p>
    <w:p w14:paraId="01856FF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今天很多人则把他视为推进历史发展的重要人物。</w:t>
      </w:r>
    </w:p>
    <w:p w14:paraId="1C1C267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请结合所学知识，选取中外某一历史事件或人物，从上述一个或多个视角展开论述，并阐明自己的看法。（要</w:t>
      </w:r>
    </w:p>
    <w:p w14:paraId="08CC476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求：自拟题目，观点正确，史论结合，逻辑严谨，结构宗散，表述清晰，不得抄袭示例）</w:t>
      </w:r>
    </w:p>
    <w:p w14:paraId="4C98BF88">
      <w:pPr>
        <w:spacing w:before="651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5EA7CBAC-420E-45B6-99E1-9B49E70605C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645D6B36-DDE5-41A4-B88D-8684EB2F14A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E577BFD-8398-41D9-AE6C-B56507A48791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91718D7C-106D-4B35-BE4A-297A2747E9A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82E4DB79-9308-41D2-81D3-E0704B35FC5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82686DD7-4632-4E42-AAD8-3A8FC19D7D9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F359AB23-A2C4-4EDA-B1EB-7E713A1D6286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6D08B33A-6035-4A65-9AC7-AA6003ABA02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EA0EDD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91FF4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62163B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AA66B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CA0A1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8F3ED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1DB65072"/>
    <w:rsid w:val="6A38112B"/>
    <w:rsid w:val="782435E5"/>
    <w:rsid w:val="7EED6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6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10</Pages>
  <Words>4002</Words>
  <Characters>4183</Characters>
  <Lines>1</Lines>
  <Paragraphs>133</Paragraphs>
  <TotalTime>3</TotalTime>
  <ScaleCrop>false</ScaleCrop>
  <LinksUpToDate>false</LinksUpToDate>
  <CharactersWithSpaces>4421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2025-07-01T12:09:00Z</dcterms:created>
  <dc:creator>Administrator</dc:creator>
  <cp:lastModifiedBy>上帝掷骰子吗</cp:lastModifiedBy>
  <dcterms:modified xsi:type="dcterms:W3CDTF">2026-02-10T06:55:24Z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55B8CBA3779C446781880BA3356BD18D_12</vt:lpwstr>
  </property>
</Properties>
</file>