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CDE11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12319000</wp:posOffset>
            </wp:positionV>
            <wp:extent cx="355600" cy="4064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年普通高中学业水平选择性考试（湖南卷）</w:t>
      </w:r>
    </w:p>
    <w:p w14:paraId="3C521B4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4A1FAA3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0C050067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188DA0E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．答卷前，考生务必将自己的姓名、准考证号填写在本试题卷和答题卡上。</w:t>
      </w:r>
    </w:p>
    <w:p w14:paraId="77E545D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．回答选择题时，选出每小题答案后，用铅笔把答题卡上对应题目的答案标号涂黑。如需改动，用橡皮擦干净后，再选涂其他答案标号。回答非选择题时，将答案写在答题卡上。写在本试题卷上无效。</w:t>
      </w:r>
    </w:p>
    <w:p w14:paraId="7F20D38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．考试结束后，将本试题卷和答题卡一并交回。</w:t>
      </w:r>
    </w:p>
    <w:p w14:paraId="11E1857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04DDE6CE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大型地方史诗剧《天宠湖南》带领观众品味湖湘文化。剧名“天宠湖南”折射出中国一种传统观念</w:t>
      </w:r>
      <w:r>
        <w:rPr>
          <w:rFonts w:ascii="Times New Roman" w:hAnsi="Times New Roman" w:eastAsia="Times New Roman" w:cs="Times New Roman"/>
          <w:color w:val="auto"/>
        </w:rPr>
        <w:t>——</w:t>
      </w:r>
      <w:r>
        <w:rPr>
          <w:rFonts w:ascii="宋体" w:hAnsi="宋体" w:eastAsia="宋体" w:cs="宋体"/>
          <w:color w:val="auto"/>
        </w:rPr>
        <w:t>将个人乃至家国的成功与“天”的眷顾联系起来。这种观念比较契合（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593D9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殷商的“上天鬼神”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老子的“天人合一”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西周的“敬天保民”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荀子的“人定胜天”</w:t>
      </w:r>
    </w:p>
    <w:p w14:paraId="1AAFC8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西汉初年，齐国贵族田氏一族被押送入关中，成为“汉民”。负责押送的齐国狱史“阑”爱上了田氏女“田南”，想偷偷把她带回齐国，出关时事情败露，被判“从诸侯国来引诱汉民”之罪。这则史料可以用来证实汉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F4A80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地方政区多元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等级制度森严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民族矛盾尖锐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法律制度严苛</w:t>
      </w:r>
    </w:p>
    <w:p w14:paraId="573899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《魏书》所载北朝人物籍贯：明确的，作者直书其籍贯；声称出自某郡望的，如证实为攀附，作者直书其实际籍贯，如真伪难辨，作者注为“自云”。“自云”并不意味着攀附，只是存疑。这反映了北朝（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10A4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政权频繁更迭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基层治理失序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家族不断迁徙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门第观念盛行</w:t>
      </w:r>
    </w:p>
    <w:p w14:paraId="667548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唐以前，上已、清明、端午、重阳等节日主要与信仰、巫术及鬼神崇拜相关。到唐代，民众踏青郊游、聚会饮宴逐渐成为这些节日的重要内容。这反映了唐代（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CBBFC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民众重视现世生活享受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庶民的社会地位提高</w:t>
      </w:r>
    </w:p>
    <w:p w14:paraId="5D0435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商品经济占据优势地位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节日的信仰色彩消失</w:t>
      </w:r>
    </w:p>
    <w:p w14:paraId="4A57FD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宋代，理学家张载、程颐、朱熹等纷纷提出重建宗族制度的主张：文臣范仲淹建“义庄”，积极强化宗族势力，欧阳修、司马光、苏辙等也在宗族制度上下过功夫。这是因为宋代（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A7BF5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儒学地位动摇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贫富无定势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政治因循保守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崇文而抑武</w:t>
      </w:r>
    </w:p>
    <w:p w14:paraId="6EEA75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16~18</w:t>
      </w:r>
      <w:r>
        <w:rPr>
          <w:rFonts w:ascii="宋体" w:hAnsi="宋体" w:eastAsia="宋体" w:cs="宋体"/>
          <w:color w:val="000000"/>
        </w:rPr>
        <w:t>世纪江南地区家庭收入模式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"/>
        <w:gridCol w:w="3266"/>
        <w:gridCol w:w="793"/>
        <w:gridCol w:w="1340"/>
        <w:gridCol w:w="793"/>
        <w:gridCol w:w="1340"/>
      </w:tblGrid>
      <w:tr w14:paraId="11FF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2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37F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6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409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  <w:r>
              <w:rPr>
                <w:rFonts w:ascii="宋体" w:hAnsi="宋体" w:eastAsia="宋体" w:cs="宋体"/>
                <w:color w:val="000000"/>
              </w:rPr>
              <w:t>世纪</w:t>
            </w:r>
          </w:p>
        </w:tc>
        <w:tc>
          <w:tcPr>
            <w:tcW w:w="16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CF2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世纪</w:t>
            </w:r>
          </w:p>
        </w:tc>
      </w:tr>
      <w:tr w14:paraId="22189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A2124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6B560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D86F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棉布纺织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503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522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棉布纺织</w:t>
            </w:r>
          </w:p>
        </w:tc>
      </w:tr>
      <w:tr w14:paraId="1C4B3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3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0AB1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投入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9C63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土地（亩）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8BC21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F74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51B0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DA57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-</w:t>
            </w:r>
          </w:p>
        </w:tc>
      </w:tr>
      <w:tr w14:paraId="5598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CBD5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2F6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男性劳动时间（日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01E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275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15DC7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B5F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217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E93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</w:p>
        </w:tc>
      </w:tr>
      <w:tr w14:paraId="12DFB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A59E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3A4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女性劳动时间（日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F57E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163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DFA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4B1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A023E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</w:p>
        </w:tc>
      </w:tr>
      <w:tr w14:paraId="04E5F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7F5F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收入（以等价粮食计算，石）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A85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18.7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AF60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7DFF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15.7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335F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7.1</w:t>
            </w:r>
          </w:p>
        </w:tc>
      </w:tr>
      <w:tr w14:paraId="1FB2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2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90BE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收入总计（石）</w:t>
            </w:r>
          </w:p>
        </w:tc>
        <w:tc>
          <w:tcPr>
            <w:tcW w:w="16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6DE7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20.1</w:t>
            </w:r>
          </w:p>
        </w:tc>
        <w:tc>
          <w:tcPr>
            <w:tcW w:w="16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4CB4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22.8</w:t>
            </w:r>
          </w:p>
        </w:tc>
      </w:tr>
    </w:tbl>
    <w:p w14:paraId="60DE91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由上表可推知，当时江南地区（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F0D9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农村土地利用率降低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女性家庭地位提升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农业商品化程度提高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自然经济逐渐解体</w:t>
      </w:r>
    </w:p>
    <w:p w14:paraId="423836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甲午战后，民间掀起一股投资新式企业的热潮。在汉口，三怡钱庄投资设立了汉丰面粉厂，新泰厚钱庄、怡和利钱庄入股了清华公司的水泥、榨油两工厂。这可用来说明（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9A82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近代经济结构的变动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近代金融体系臻于完善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民族资本主义的产生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民族资产阶级实力强大</w:t>
      </w:r>
    </w:p>
    <w:p w14:paraId="447996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月，黄炎培考察皖南冲田村公立高等小学，发现该校教师仍有脑后“累累垂辫”者，学生人数由去年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人减少至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人，去年慕名前来学习算术和体操的私塾生今年也不再来了。据此可推知当时（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A1F0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崇尚儒学仍是时代潮流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新旧势力斗争激烈</w:t>
      </w:r>
    </w:p>
    <w:p w14:paraId="283A89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政党政治造成政策摇摆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私塾退出历史舞台</w:t>
      </w:r>
    </w:p>
    <w:p w14:paraId="4E09DC8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下表所示为抗日战争时期晋察冀边区、晋绥边区等根据地各阶层土地占有情况的调查数据。据表可推知，减租减息政策（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38"/>
        <w:gridCol w:w="629"/>
        <w:gridCol w:w="630"/>
        <w:gridCol w:w="630"/>
        <w:gridCol w:w="713"/>
        <w:gridCol w:w="630"/>
      </w:tblGrid>
      <w:tr w14:paraId="7C327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D746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447D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地主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0D3E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富农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CCE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中农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9D26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贫农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8F3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雇农</w:t>
            </w:r>
          </w:p>
        </w:tc>
      </w:tr>
      <w:tr w14:paraId="7478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975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减租减息前（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42E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A20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18.3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854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28.5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9F1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17.2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21FC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0.75</w:t>
            </w:r>
          </w:p>
        </w:tc>
      </w:tr>
      <w:tr w14:paraId="18124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BA34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减租减息后（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5A50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16.4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5E4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15.6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0D4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45.2</w:t>
            </w:r>
          </w:p>
        </w:tc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14E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20.67</w:t>
            </w:r>
          </w:p>
        </w:tc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59A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0.51</w:t>
            </w:r>
          </w:p>
        </w:tc>
      </w:tr>
    </w:tbl>
    <w:p w14:paraId="5658C6C4">
      <w:pPr>
        <w:spacing w:line="360" w:lineRule="auto"/>
        <w:jc w:val="both"/>
        <w:textAlignment w:val="center"/>
        <w:rPr>
          <w:color w:val="000000"/>
        </w:rPr>
      </w:pPr>
    </w:p>
    <w:p w14:paraId="591673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有利于土地革命的深入开展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增强了抗日根据地经济的韧性</w:t>
      </w:r>
    </w:p>
    <w:p w14:paraId="07E13B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激化了地主与农民间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实现了“耕者有其田”的目标</w:t>
      </w:r>
    </w:p>
    <w:p w14:paraId="3455B2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上海解放后，原本奄奄一息的绿宝金笔厂在政府扶持下，迅速恢复和发展。</w:t>
      </w:r>
      <w:r>
        <w:rPr>
          <w:rFonts w:ascii="Times New Roman" w:hAnsi="Times New Roman" w:eastAsia="Times New Roman" w:cs="Times New Roman"/>
          <w:color w:val="000000"/>
        </w:rPr>
        <w:t>1955</w:t>
      </w:r>
      <w:r>
        <w:rPr>
          <w:rFonts w:ascii="宋体" w:hAnsi="宋体" w:eastAsia="宋体" w:cs="宋体"/>
          <w:color w:val="000000"/>
        </w:rPr>
        <w:t>年，该厂并入华孚金笔厂，成为公私合营企业，经理由原绿宝金笔厂老板担任。这反映了当时（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A6FF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国家始终贯彻新民主主义经济政策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民族资产阶级逐步掌握工厂领导权</w:t>
      </w:r>
    </w:p>
    <w:p w14:paraId="4EDA1D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探索社会主义建设道路取得巨大成就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中国由新民主主义向社会主义的转变</w:t>
      </w:r>
    </w:p>
    <w:p w14:paraId="251DC6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1995</w:t>
      </w:r>
      <w:r>
        <w:rPr>
          <w:rFonts w:ascii="宋体" w:hAnsi="宋体" w:eastAsia="宋体" w:cs="宋体"/>
          <w:color w:val="000000"/>
        </w:rPr>
        <w:t>年，湖南省土地承包期续签工作基本完成，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的农户续签了延包合同。同时，出现了拍卖租赁、招标承包等多种使用权转让形式，土地使用权流转机制开始形成。这（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97D09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顺应了基层群众自治需要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打破了传统城乡二元结构</w:t>
      </w:r>
    </w:p>
    <w:p w14:paraId="563118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改变了家庭联产承包责任制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适应了市场经济发展的需要</w:t>
      </w:r>
    </w:p>
    <w:p w14:paraId="58F56F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公元前</w:t>
      </w:r>
      <w:r>
        <w:rPr>
          <w:rFonts w:ascii="Times New Roman" w:hAnsi="Times New Roman" w:eastAsia="Times New Roman" w:cs="Times New Roman"/>
          <w:color w:val="000000"/>
        </w:rPr>
        <w:t>4~</w:t>
      </w:r>
      <w:r>
        <w:rPr>
          <w:rFonts w:ascii="宋体" w:hAnsi="宋体" w:eastAsia="宋体" w:cs="宋体"/>
          <w:color w:val="000000"/>
        </w:rPr>
        <w:t>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世纪，“古代埃及第一位史学家”马涅托在其著作中记载了历代法老及其在位时间，并首次用希腊词汇“</w:t>
      </w:r>
      <w:r>
        <w:rPr>
          <w:rFonts w:ascii="Times New Roman" w:hAnsi="Times New Roman" w:eastAsia="Times New Roman" w:cs="Times New Roman"/>
          <w:color w:val="000000"/>
        </w:rPr>
        <w:t>Dynasteia</w:t>
      </w:r>
      <w:r>
        <w:rPr>
          <w:rFonts w:ascii="宋体" w:hAnsi="宋体" w:eastAsia="宋体" w:cs="宋体"/>
          <w:color w:val="000000"/>
        </w:rPr>
        <w:t>”来表示“王朝”的概念。这（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A0DC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表明古埃及王朝更替较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频繁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表明埃及文字来源于希腊字母</w:t>
      </w:r>
    </w:p>
    <w:p w14:paraId="3E6110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可用于探究亚历山大远征的影响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可用于说明古代希腊史学的起源</w:t>
      </w:r>
    </w:p>
    <w:p w14:paraId="69A9D3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中世纪英格兰税务征缴机制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：国王发布征税令状，各地根据国王令状建立税务陪审团，陪审团评估复核税额，最后征缴税金。普通民众出任税务陪审员，既是权利又是义务。这表明中世纪英格兰（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AEF5E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专制君主权力衰落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地方自治色彩浓厚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王室严格控制地方财政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公民拥有广泛的参政权</w:t>
      </w:r>
    </w:p>
    <w:p w14:paraId="6A95CF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世纪，被称为“中国根”的中药土茯苓传入欧洲后，比利时解剖学家维萨里结合实践经验撰写了《中国根书简》，说明“中国根”的植物特性、炮制方式和临床应用等。这可用来说明当时欧洲人（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D80F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崇尚东方传统文化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否定罗马教廷权威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重视探索自然奥秘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批判继承古典文化</w:t>
      </w:r>
    </w:p>
    <w:p w14:paraId="0867F0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有学者认为，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世纪中期以来“（拉美民族国家构建）的障碍并非是在文化上的差异性，恰恰相反，障碍主要是这片大陆上国家间的文化相同性太过明显”。这表明该学者（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5984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强调拉美的种族歧视根深蒂固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认为拉美原住民文化已经消亡</w:t>
      </w:r>
    </w:p>
    <w:p w14:paraId="4C9301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主张加强拉美各国的文化交流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正视殖民遗产造成的现实困境</w:t>
      </w:r>
    </w:p>
    <w:p w14:paraId="631399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50~60</w:t>
      </w:r>
      <w:r>
        <w:rPr>
          <w:rFonts w:ascii="宋体" w:hAnsi="宋体" w:eastAsia="宋体" w:cs="宋体"/>
          <w:color w:val="000000"/>
        </w:rPr>
        <w:t>年代，加拿大为扩大粮食出口，主动与中国开展粮食贸易。美国试图利用加拿大对美石油供应的依赖加以阻挠。在加拿大政府的坚持下，</w:t>
      </w:r>
      <w:r>
        <w:rPr>
          <w:rFonts w:ascii="Times New Roman" w:hAnsi="Times New Roman" w:eastAsia="Times New Roman" w:cs="Times New Roman"/>
          <w:color w:val="000000"/>
        </w:rPr>
        <w:t>1961</w:t>
      </w:r>
      <w:r>
        <w:rPr>
          <w:rFonts w:ascii="宋体" w:hAnsi="宋体" w:eastAsia="宋体" w:cs="宋体"/>
          <w:color w:val="000000"/>
        </w:rPr>
        <w:t>年中加两国达成第一个小麦贸易协定。这（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36FD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体现加拿大国际地位逐渐上升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表明北美区域经济集团化受阻</w:t>
      </w:r>
    </w:p>
    <w:p w14:paraId="6E91E0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证明粮食贸易成为中美博弈重要工具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说明冷战格局下美加合作与对抗并存</w:t>
      </w:r>
    </w:p>
    <w:p w14:paraId="4572E63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A08A8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4BFE0466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31491B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952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pXt0VngZHeD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pXt0VngZHeDNAx1ODbqMbQ==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4D4F0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长城防御体系使汉政权获得了战略优势，被视为引发匈奴经济衰败、政治分裂的因素。公元1世纪中期，匈奴分裂为南北两部，南匈奴归附汉王朝。此后，北匈奴西迁。受匈奴西迁压力的其他游牧半游牧部族，波涛相逐，先后涌入亚欧大陆农耕世界，改变了亚欧大陆的地缘政治格局，影响了罗马帝国的兴衰进程。有人据此得出“长城害惨了欧洲”的结论。</w:t>
      </w:r>
    </w:p>
    <w:p w14:paraId="098F49F2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——根据林剑鸣《秦汉史》，吴于廑、齐世荣《世界史·古代史编》等编写</w:t>
      </w:r>
    </w:p>
    <w:p w14:paraId="30308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根据材料一并结合所学知识，从空间视角，指出汉长城相较于秦长城的主要不同之处，并分析原因。</w:t>
      </w:r>
    </w:p>
    <w:p w14:paraId="23222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根据材料并结合所学知识，指出并分析“长城害惨了欧洲”的历史解释的误区。</w:t>
      </w:r>
    </w:p>
    <w:p w14:paraId="70740A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340349A7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20世纪初，乒乓球运动传入中国，但影响有限。1937年，《乒乓世界》发文感慨，“我国的乒乓运动成为世界的乒乓之日，便是我民族发扬之时”。</w:t>
      </w:r>
    </w:p>
    <w:p w14:paraId="6CFCB0F6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1953年，中国加入国际乒乓球联合会，该组织为最早接纳新中国的少数几个国际体育组织之一。1959年，容国团夺得第25届世界乒乓球锦标赛男子单打冠军。这是新中国竞技体育的第一个世界冠军。容国团受到毛泽东、周恩来等党和国家领导人接见，成为国人心中的民族英雄。受此影响，全国掀起了“全民乒乓”运动，1959年12月，仅上海一地，就有近30万群众参与。此后，中国乒乓球队又多次获得世界冠军，中国“乒乓强国”地位由此奠定。1971年，“乒乓外交”通过“小球转动大球”，打开了中美两国人民友好交往的大门。</w:t>
      </w:r>
    </w:p>
    <w:p w14:paraId="228D8B22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1988年乒乓球成为奥运会项目后，中国队多次夺得甚至包揽该项目的奥运冠军，运动员夺冠后升国旗、秦国歌的仪式，让现场和电视机前的观众热血沸腾。20世纪90年代，“国球”的说法广泛出现在媒体报道中。1995年，中国乒乓球俱乐部联赛创办。此后，高水平的联赛吸引了世界各国著名选手前来参赛。2015年，习近平主席访美时，将乒乓球器材作为礼物赠送给林肯中学。</w:t>
      </w:r>
    </w:p>
    <w:p w14:paraId="3C3A906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——改编自李根、高嵘《国家认同与集体记忆：“国球”乒乓的塑造过程及象征意义》等</w:t>
      </w:r>
    </w:p>
    <w:p w14:paraId="160713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根据材料并结合所学知识，以“国球”为主题写一则历史短文。（要求：自拟标题，史论结合，逻辑严密，表述清晰）</w:t>
      </w:r>
    </w:p>
    <w:p w14:paraId="012DA8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CEE7796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17、18世纪，法国巴黎贵妇人常在客厅招待文人和艺术家，讨论文学艺术、宗教哲学和时事政治等话题，是为沙龙。沙龙是当时社会中上层重要的社交方式。伏尔泰、孟德斯鸠等人曾在沙龙中朗诵其作品，表达对旧制度的批判。法国大革命爆发后，沙龙成为政治派别的集合地，如女政治家罗兰夫人举办的沙龙就成为讨论时政、商定国策的重要场所。</w:t>
      </w:r>
    </w:p>
    <w:p w14:paraId="0EE43BF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——改编自萧琦《沙龙与法国大革命》等</w:t>
      </w:r>
    </w:p>
    <w:p w14:paraId="6A12C5A1">
      <w:pPr>
        <w:spacing w:line="360" w:lineRule="auto"/>
        <w:ind w:firstLine="43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18世纪，英国地方性科学社团兴起，在应用科学和技术领域具有广泛影响。在伯明翰，一些科学家、实业家和工程师组织了一个名为“月光社”的社团，定期在成员家中集会并开展研究。下表为月光社部分成员的相关信息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76"/>
        <w:gridCol w:w="1337"/>
        <w:gridCol w:w="3412"/>
      </w:tblGrid>
      <w:tr w14:paraId="4A0EB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C25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姓名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4A16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职业或身份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D22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主要活动</w:t>
            </w:r>
          </w:p>
        </w:tc>
      </w:tr>
      <w:tr w14:paraId="6FB8C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962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马修·博尔顿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E97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金属产品制造商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56EE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开办索霍工厂，进行蒸汽机实验</w:t>
            </w:r>
          </w:p>
        </w:tc>
      </w:tr>
      <w:tr w14:paraId="39BAF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BEA7C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伊拉斯谟·达尔文（《物种起源》作者查尔斯·达尔文的祖父）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308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家庭医生、科学家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BC728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进行医学实验，发表热学等方面的论文，撰写《植物园》</w:t>
            </w:r>
          </w:p>
        </w:tc>
      </w:tr>
      <w:tr w14:paraId="577A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2E2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约西亚·韦奇伍德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63A2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陶器制造商、化学家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7A0E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开办陶器厂，发表温度测量和化学等方面的论文，发明高温计</w:t>
            </w:r>
          </w:p>
        </w:tc>
      </w:tr>
      <w:tr w14:paraId="5286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9259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詹姆斯·瓦特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58AF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工程师、发明家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3AA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改良蒸汽机，进行热学实验，发明复写技术</w:t>
            </w:r>
          </w:p>
        </w:tc>
      </w:tr>
    </w:tbl>
    <w:p w14:paraId="7E6C365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——改编自李斌《月光社的历史及其影响》</w:t>
      </w:r>
    </w:p>
    <w:p w14:paraId="0955F3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根据材料并结合所学知识，分别指出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世纪法国沙龙和英国科学社团的特点。</w:t>
      </w:r>
    </w:p>
    <w:p w14:paraId="621536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根据材料并结合所学知识，分析说明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世纪前后法英两国社会发展态势的差异。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95B8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8C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85D7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8DAD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B2B0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42FB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380F2A"/>
    <w:rsid w:val="38274566"/>
    <w:rsid w:val="4E02152A"/>
    <w:rsid w:val="526B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3737</Words>
  <Characters>3970</Characters>
  <Lines>0</Lines>
  <Paragraphs>0</Paragraphs>
  <TotalTime>5</TotalTime>
  <ScaleCrop>false</ScaleCrop>
  <LinksUpToDate>false</LinksUpToDate>
  <CharactersWithSpaces>4150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2025-06-26T15:07:00Z</dcterms:created>
  <dc:creator>学科网试题生产平台</dc:creator>
  <dc:description>3785228750094336</dc:description>
  <cp:lastModifiedBy>上帝掷骰子吗</cp:lastModifiedBy>
  <dcterms:modified xsi:type="dcterms:W3CDTF">2026-02-10T06:55:24Z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C1FC99AC02124805AD34CC3BD76AAF63_12</vt:lpwstr>
  </property>
</Properties>
</file>