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B012395">
      <w:pPr>
        <w:spacing w:before="0" w:after="0" w:line="325" w:lineRule="exact"/>
        <w:ind w:left="642" w:right="0" w:firstLine="0"/>
        <w:jc w:val="left"/>
        <w:rPr>
          <w:rFonts w:ascii="Times New Roman"/>
          <w:color w:val="000000"/>
          <w:spacing w:val="0"/>
          <w:sz w:val="32"/>
        </w:rPr>
      </w:pPr>
      <w:bookmarkStart w:id="0" w:name="br1"/>
      <w:bookmarkEnd w:id="0"/>
      <w:r>
        <w:pict>
          <v:shape id="_x0000_s1027" o:spid="_x0000_s1027" o:spt="75" type="#_x0000_t75" style="position:absolute;left:0pt;margin-left:404.15pt;margin-top:72.55pt;height:2.75pt;width:2.75pt;mso-position-horizontal-relative:page;mso-position-vertical-relative:page;z-index:-251632640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28" o:spid="_x0000_s1028" o:spt="75" type="#_x0000_t75" style="position:absolute;left:0pt;margin-left:53pt;margin-top:404.25pt;height:135.6pt;width:189.6pt;mso-position-horizontal-relative:page;mso-position-vertical-relative:page;z-index:-251633664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29" o:spid="_x0000_s1029" o:spt="75" type="#_x0000_t75" style="position:absolute;left:0pt;margin-left:116.8pt;margin-top:769.7pt;height:2.75pt;width:2.75pt;mso-position-horizontal-relative:page;mso-position-vertical-relative:page;z-index:-251634688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rPr>
          <w:rFonts w:ascii="宋体"/>
          <w:color w:val="000000"/>
          <w:spacing w:val="9"/>
          <w:sz w:val="32"/>
        </w:rPr>
        <w:t>2025</w:t>
      </w:r>
      <w:r>
        <w:rPr>
          <w:rFonts w:ascii="Times New Roman"/>
          <w:color w:val="000000"/>
          <w:spacing w:val="0"/>
          <w:sz w:val="32"/>
        </w:rPr>
        <w:t xml:space="preserve"> </w:t>
      </w:r>
      <w:r>
        <w:rPr>
          <w:rFonts w:ascii="宋体" w:hAnsi="宋体" w:cs="宋体"/>
          <w:color w:val="000000"/>
          <w:spacing w:val="1"/>
          <w:sz w:val="32"/>
        </w:rPr>
        <w:t>年普通高中学业水平选择性考试（江苏卷）</w:t>
      </w:r>
      <w:r>
        <w:rPr>
          <w:rFonts w:ascii="Times New Roman"/>
          <w:color w:val="000000"/>
          <w:spacing w:val="249"/>
          <w:sz w:val="32"/>
        </w:rPr>
        <w:t xml:space="preserve"> </w:t>
      </w:r>
      <w:r>
        <w:rPr>
          <w:rFonts w:ascii="宋体" w:hAnsi="宋体" w:cs="宋体"/>
          <w:color w:val="000000"/>
          <w:spacing w:val="0"/>
          <w:sz w:val="32"/>
        </w:rPr>
        <w:t>历史试题</w:t>
      </w:r>
    </w:p>
    <w:p w14:paraId="6F23C999">
      <w:pPr>
        <w:spacing w:before="258" w:after="0" w:line="250" w:lineRule="exact"/>
        <w:ind w:left="2749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本试卷满分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宋体"/>
          <w:color w:val="000000"/>
          <w:spacing w:val="7"/>
          <w:sz w:val="24"/>
        </w:rPr>
        <w:t>100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2"/>
          <w:sz w:val="24"/>
        </w:rPr>
        <w:t>分，考试时间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宋体"/>
          <w:color w:val="000000"/>
          <w:spacing w:val="7"/>
          <w:sz w:val="24"/>
        </w:rPr>
        <w:t>75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分钟。</w:t>
      </w:r>
    </w:p>
    <w:p w14:paraId="16951D85">
      <w:pPr>
        <w:spacing w:before="218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2"/>
          <w:sz w:val="24"/>
        </w:rPr>
        <w:t>一、单项选择题：共</w:t>
      </w:r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宋体"/>
          <w:color w:val="000000"/>
          <w:spacing w:val="7"/>
          <w:sz w:val="24"/>
        </w:rPr>
        <w:t>15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3"/>
          <w:sz w:val="24"/>
        </w:rPr>
        <w:t>题，每题</w:t>
      </w:r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宋体"/>
          <w:color w:val="000000"/>
          <w:spacing w:val="0"/>
          <w:sz w:val="24"/>
        </w:rPr>
        <w:t>3</w:t>
      </w:r>
      <w:r>
        <w:rPr>
          <w:rFonts w:ascii="Times New Roman"/>
          <w:color w:val="000000"/>
          <w:spacing w:val="7"/>
          <w:sz w:val="24"/>
        </w:rPr>
        <w:t xml:space="preserve"> </w:t>
      </w:r>
      <w:r>
        <w:rPr>
          <w:rFonts w:ascii="宋体" w:hAnsi="宋体" w:cs="宋体"/>
          <w:color w:val="000000"/>
          <w:spacing w:val="4"/>
          <w:sz w:val="24"/>
        </w:rPr>
        <w:t>分，共</w:t>
      </w:r>
      <w:r>
        <w:rPr>
          <w:rFonts w:ascii="Times New Roman"/>
          <w:color w:val="000000"/>
          <w:spacing w:val="-3"/>
          <w:sz w:val="24"/>
        </w:rPr>
        <w:t xml:space="preserve"> </w:t>
      </w:r>
      <w:r>
        <w:rPr>
          <w:rFonts w:ascii="宋体"/>
          <w:color w:val="000000"/>
          <w:spacing w:val="7"/>
          <w:sz w:val="24"/>
        </w:rPr>
        <w:t>45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1"/>
          <w:sz w:val="24"/>
        </w:rPr>
        <w:t>分。每题只有一个选项最符合题意。</w:t>
      </w:r>
    </w:p>
    <w:p w14:paraId="2DCFEC81">
      <w:pPr>
        <w:spacing w:before="22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新石器时代晚期，镶嵌绿松石的玉石器在葬仪和祭祀中扮演重要角色。绿松石的镶嵌方法中最具代表性</w:t>
      </w:r>
    </w:p>
    <w:p w14:paraId="4CCE997E">
      <w:pPr>
        <w:spacing w:before="232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的有孔嵌法和平面镶嵌法。孔嵌法沿黄河自东向西传播；平面镶嵌法与之相反，从甘肃、青海地区向黄河</w:t>
      </w:r>
    </w:p>
    <w:p w14:paraId="00AC2798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中下游传播。这可用于印证（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7599D0C0">
      <w:pPr>
        <w:spacing w:before="24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南北方生产工艺的融合</w:t>
      </w:r>
      <w:r>
        <w:rPr>
          <w:rFonts w:ascii="Times New Roman"/>
          <w:color w:val="000000"/>
          <w:spacing w:val="241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母系氏族社会审美的改变</w:t>
      </w:r>
    </w:p>
    <w:p w14:paraId="218B6C73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原始文化的传播与交流</w:t>
      </w:r>
      <w:r>
        <w:rPr>
          <w:rFonts w:ascii="Times New Roman"/>
          <w:color w:val="000000"/>
          <w:spacing w:val="242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阶级社会等级秩序的建立</w:t>
      </w:r>
    </w:p>
    <w:p w14:paraId="15147903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2. </w:t>
      </w:r>
      <w:r>
        <w:rPr>
          <w:rFonts w:ascii="宋体" w:hAnsi="宋体" w:cs="宋体"/>
          <w:color w:val="000000"/>
          <w:spacing w:val="0"/>
          <w:sz w:val="21"/>
        </w:rPr>
        <w:t>“岳麓秦简”中记录的秦人丈量土地时计算圆面积的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4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宋体" w:hAnsi="宋体" w:cs="宋体"/>
          <w:color w:val="000000"/>
          <w:spacing w:val="-5"/>
          <w:sz w:val="21"/>
        </w:rPr>
        <w:t>种简易方法，可与《九章算术》“周三径一”的算</w:t>
      </w:r>
    </w:p>
    <w:p w14:paraId="10453438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法互证，展现出古老简牍里的科技之光。这体现了（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683570B7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秦朝政府重视卜筮之术</w:t>
      </w:r>
      <w:r>
        <w:rPr>
          <w:rFonts w:ascii="Times New Roman"/>
          <w:color w:val="000000"/>
          <w:spacing w:val="241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先民对自然规律的探索</w:t>
      </w:r>
    </w:p>
    <w:p w14:paraId="7BA9EF77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手工业生产的实际需求</w:t>
      </w:r>
      <w:r>
        <w:rPr>
          <w:rFonts w:ascii="Times New Roman"/>
          <w:color w:val="000000"/>
          <w:spacing w:val="242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国家推行均田制的努力</w:t>
      </w:r>
    </w:p>
    <w:p w14:paraId="614EDC44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3.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汉画像砖是模印或捺印有图像的砖，风格处于绘画与雕塑之间。如图是一幅表现劳动人民插秧场景的画</w:t>
      </w:r>
    </w:p>
    <w:p w14:paraId="3F617FB3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像砖拓片。该图（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57F72FED">
      <w:pPr>
        <w:spacing w:before="304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反映了坞堡庄园经济的具体特点</w:t>
      </w:r>
    </w:p>
    <w:p w14:paraId="50EC4187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佐证了古代农业生产技术的成熟</w:t>
      </w:r>
    </w:p>
    <w:p w14:paraId="071E6B3B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表现了“以形写神”的绘画风格</w:t>
      </w:r>
    </w:p>
    <w:p w14:paraId="5B3691C6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提供了研究汉代经济的史料依据</w:t>
      </w:r>
    </w:p>
    <w:p w14:paraId="5E0C6008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4.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8"/>
          <w:sz w:val="21"/>
        </w:rPr>
        <w:t>晋朝葛洪著《肘后备急方》，其“肘后”者，犹言“袖珍”，意为可藏于手肘之后；“备急”者，“预先备</w:t>
      </w:r>
    </w:p>
    <w:p w14:paraId="77965467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4"/>
          <w:sz w:val="21"/>
        </w:rPr>
        <w:t>办临急可用之要方”。唐朝孙思邈认为，“人命至重，有贵千金”，遂著成《千金方》。两书取名的要义共</w:t>
      </w:r>
    </w:p>
    <w:p w14:paraId="02BFF77F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同反映出，中医药学注重（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66941E66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以人为本的价值追求</w:t>
      </w:r>
      <w:r>
        <w:rPr>
          <w:rFonts w:ascii="Times New Roman"/>
          <w:color w:val="000000"/>
          <w:spacing w:val="262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对药物功用的理论总结</w:t>
      </w:r>
    </w:p>
    <w:p w14:paraId="560DB0A5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人与自然的有机联系</w:t>
      </w:r>
      <w:r>
        <w:rPr>
          <w:rFonts w:ascii="Times New Roman"/>
          <w:color w:val="000000"/>
          <w:spacing w:val="263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药方与辨证施治的结合</w:t>
      </w:r>
    </w:p>
    <w:p w14:paraId="4E79218D">
      <w:pPr>
        <w:spacing w:before="420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1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560A1D29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63392F13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0825D710">
      <w:pPr>
        <w:pStyle w:val="6"/>
        <w:sectPr>
          <w:headerReference r:id="rId6" w:type="first"/>
          <w:footerReference r:id="rId9" w:type="first"/>
          <w:headerReference r:id="rId4" w:type="default"/>
          <w:footerReference r:id="rId7" w:type="default"/>
          <w:headerReference r:id="rId5" w:type="even"/>
          <w:footerReference r:id="rId8" w:type="even"/>
          <w:pgSz w:w="11900" w:h="16840"/>
          <w:pgMar w:top="1474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669B80C6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4C59F9FF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1" w:name="br2"/>
      <w:bookmarkEnd w:id="1"/>
      <w:r>
        <w:pict>
          <v:shape id="_x0000_s1032" o:spid="_x0000_s1032" o:spt="75" type="#_x0000_t75" style="position:absolute;left:0pt;margin-left:404.15pt;margin-top:72.55pt;height:2.75pt;width:2.75pt;mso-position-horizontal-relative:page;mso-position-vertical-relative:page;z-index:-251635712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033" o:spid="_x0000_s1033" o:spt="75" type="#_x0000_t75" style="position:absolute;left:0pt;margin-left:212.1pt;margin-top:473.3pt;height:5.75pt;width:5pt;mso-position-horizontal-relative:page;mso-position-vertical-relative:page;z-index:-251636736;mso-width-relative:page;mso-height-relative:page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</v:shape>
        </w:pict>
      </w:r>
      <w:r>
        <w:pict>
          <v:shape id="_x0000_s1034" o:spid="_x0000_s1034" o:spt="75" type="#_x0000_t75" style="position:absolute;left:0pt;margin-left:116.8pt;margin-top:769.7pt;height:2.75pt;width:2.75pt;mso-position-horizontal-relative:page;mso-position-vertical-relative:page;z-index:-251637760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35" o:spid="_x0000_s1035" o:spt="75" type="#_x0000_t75" style="position:absolute;left:0pt;margin-left:47pt;margin-top:88.3pt;height:199.35pt;width:382.4pt;mso-position-horizontal-relative:page;mso-position-vertical-relative:page;z-index:-251638784;mso-width-relative:page;mso-height-relative:page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</v:shape>
        </w:pict>
      </w:r>
      <w:r>
        <w:pict>
          <v:shape id="_x0000_s1036" o:spid="_x0000_s1036" o:spt="75" type="#_x0000_t75" style="position:absolute;left:0pt;margin-left:110.8pt;margin-top:431.25pt;height:16.25pt;width:12.5pt;mso-position-horizontal-relative:page;mso-position-vertical-relative:page;z-index:-251639808;mso-width-relative:page;mso-height-relative:page;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</v:shape>
        </w:pict>
      </w:r>
      <w:r>
        <w:pict>
          <v:shape id="_x0000_s1037" o:spid="_x0000_s1037" o:spt="75" type="#_x0000_t75" style="position:absolute;left:0pt;margin-left:385.4pt;margin-top:454.5pt;height:16.25pt;width:12.5pt;mso-position-horizontal-relative:page;mso-position-vertical-relative:page;z-index:-251640832;mso-width-relative:page;mso-height-relative:page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5.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下表呈现的是明代小说中描写商业活动的片段。该表折射出当时（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4A2A938D">
      <w:pPr>
        <w:spacing w:before="32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作品</w:t>
      </w:r>
      <w:r>
        <w:rPr>
          <w:rFonts w:ascii="Times New Roman"/>
          <w:color w:val="000000"/>
          <w:spacing w:val="69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内容</w:t>
      </w:r>
    </w:p>
    <w:p w14:paraId="631827E7">
      <w:pPr>
        <w:spacing w:before="393" w:after="0" w:line="23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《警世通</w:t>
      </w:r>
      <w:r>
        <w:rPr>
          <w:rFonts w:ascii="Times New Roman"/>
          <w:color w:val="000000"/>
          <w:spacing w:val="27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南京国子监监生孙富“徽州新安人氏，家资巨万”，世代</w:t>
      </w:r>
      <w:r>
        <w:rPr>
          <w:rFonts w:ascii="Times New Roman"/>
          <w:color w:val="000000"/>
          <w:spacing w:val="1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扬州经</w:t>
      </w:r>
    </w:p>
    <w:p w14:paraId="2DECD1A1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言》</w:t>
      </w:r>
      <w:r>
        <w:rPr>
          <w:rFonts w:ascii="Times New Roman"/>
          <w:color w:val="000000"/>
          <w:spacing w:val="69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营盐业</w:t>
      </w:r>
    </w:p>
    <w:p w14:paraId="65C230A2">
      <w:pPr>
        <w:spacing w:before="413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《杜骗新</w:t>
      </w:r>
      <w:r>
        <w:rPr>
          <w:rFonts w:ascii="Times New Roman"/>
          <w:color w:val="000000"/>
          <w:spacing w:val="27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徽州人吴胜理“在苏州府开铺，收买各样色布，揭行生意最大，四</w:t>
      </w:r>
    </w:p>
    <w:p w14:paraId="6A7D3126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书》</w:t>
      </w:r>
      <w:r>
        <w:rPr>
          <w:rFonts w:ascii="Times New Roman"/>
          <w:color w:val="000000"/>
          <w:spacing w:val="69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方买者极多，每日有几十两银交易”</w:t>
      </w:r>
    </w:p>
    <w:p w14:paraId="0FEFA6B2">
      <w:pPr>
        <w:spacing w:before="413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《石点</w:t>
      </w:r>
      <w:r>
        <w:rPr>
          <w:rFonts w:ascii="Times New Roman"/>
          <w:color w:val="000000"/>
          <w:spacing w:val="488"/>
          <w:sz w:val="21"/>
        </w:rPr>
        <w:t xml:space="preserve"> </w:t>
      </w:r>
      <w:r>
        <w:rPr>
          <w:rFonts w:ascii="宋体" w:hAnsi="宋体" w:cs="宋体"/>
          <w:color w:val="000000"/>
          <w:spacing w:val="-4"/>
          <w:sz w:val="21"/>
        </w:rPr>
        <w:t>在扬州，来元（人名）“走到一个典铺里来当银，这典铺是姓程的徽</w:t>
      </w:r>
    </w:p>
    <w:p w14:paraId="600C556C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头》</w:t>
      </w:r>
      <w:r>
        <w:rPr>
          <w:rFonts w:ascii="Times New Roman"/>
          <w:color w:val="000000"/>
          <w:spacing w:val="69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州人所开”</w:t>
      </w:r>
    </w:p>
    <w:p w14:paraId="10DA66F7">
      <w:pPr>
        <w:spacing w:before="795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白银资本催生典当业</w:t>
      </w:r>
      <w:r>
        <w:rPr>
          <w:rFonts w:ascii="Times New Roman"/>
          <w:color w:val="000000"/>
          <w:spacing w:val="262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徽商热衷资助文学创作</w:t>
      </w:r>
    </w:p>
    <w:p w14:paraId="5330B71D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地域性商人群体活跃</w:t>
      </w:r>
      <w:r>
        <w:rPr>
          <w:rFonts w:ascii="Times New Roman"/>
          <w:color w:val="000000"/>
          <w:spacing w:val="263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货物交易依赖长途贩运</w:t>
      </w:r>
    </w:p>
    <w:p w14:paraId="1F983DD6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6. </w:t>
      </w:r>
      <w:r>
        <w:rPr>
          <w:rFonts w:ascii="宋体"/>
          <w:color w:val="000000"/>
          <w:spacing w:val="0"/>
          <w:sz w:val="21"/>
        </w:rPr>
        <w:t>1898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年，甲午进士李家驹赴日本考察学务，认识到体育的重要性。1906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年，他出任京师大学堂总监督。</w:t>
      </w:r>
    </w:p>
    <w:p w14:paraId="11FD5F2C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同年在学堂举办的运动会上，李家驹脱下官袍，参加短跑比赛，轰动一时。他的举动受到开明报章的大力</w:t>
      </w:r>
    </w:p>
    <w:p w14:paraId="3B7F042A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榆扬，带动了中国学校体育运动的发展。这反映出（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33DE958D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教育领域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嬗变革新</w:t>
      </w:r>
      <w:r>
        <w:rPr>
          <w:rFonts w:ascii="Times New Roman"/>
          <w:color w:val="000000"/>
          <w:spacing w:val="262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欧美体育运动开始传入</w:t>
      </w:r>
    </w:p>
    <w:p w14:paraId="41969F73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清末新政取得了成功</w:t>
      </w:r>
      <w:r>
        <w:rPr>
          <w:rFonts w:ascii="Times New Roman"/>
          <w:color w:val="000000"/>
          <w:spacing w:val="263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新学堂与科举制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对立</w:t>
      </w:r>
    </w:p>
    <w:p w14:paraId="6EB7E06D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7.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4"/>
          <w:sz w:val="21"/>
        </w:rPr>
        <w:t>一战前后，中国新式农场得到发展。在江苏，张睿创办的通海垦牧公司实行股份制，“废灶兴垦”；在黑</w:t>
      </w:r>
    </w:p>
    <w:p w14:paraId="426D8679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龙江，以浙江财阀为背景的农场从俄国购入拖拉机，用于耕作。这些现象说明（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2DF98225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资本主义经营方式的扩展</w:t>
      </w:r>
      <w:r>
        <w:rPr>
          <w:rFonts w:ascii="Times New Roman"/>
          <w:color w:val="000000"/>
          <w:spacing w:val="220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北洋政府急于改善财政状况</w:t>
      </w:r>
    </w:p>
    <w:p w14:paraId="3765BD4B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民族工业在全国均衡发展</w:t>
      </w:r>
      <w:r>
        <w:rPr>
          <w:rFonts w:ascii="Times New Roman"/>
          <w:color w:val="000000"/>
          <w:spacing w:val="221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实业救国思想被各阶层接受</w:t>
      </w:r>
    </w:p>
    <w:p w14:paraId="537C9299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8.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下图是《救国时报》1937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年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5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月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23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日刊登的一幅画作。画中士兵手举抗日联军旗帜，头戴布琼尼军帽</w:t>
      </w:r>
    </w:p>
    <w:p w14:paraId="3DEE79F6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3"/>
          <w:sz w:val="21"/>
        </w:rPr>
        <w:t>（曾是苏联红军战士的标配），与日寇英勇战斗。该画作意在表现（</w:t>
      </w:r>
      <w:r>
        <w:rPr>
          <w:rFonts w:ascii="Times New Roman"/>
          <w:color w:val="000000"/>
          <w:spacing w:val="26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34006AC9">
      <w:pPr>
        <w:spacing w:before="3190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2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41396649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0F28B6B5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3184BBB8">
      <w:pPr>
        <w:pStyle w:val="6"/>
        <w:sectPr>
          <w:pgSz w:w="11900" w:h="16840"/>
          <w:pgMar w:top="1440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301807B2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4C93B6AD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2" w:name="br3"/>
      <w:bookmarkEnd w:id="2"/>
      <w:r>
        <w:pict>
          <v:shape id="_x0000_s1040" o:spid="_x0000_s1040" o:spt="75" type="#_x0000_t75" style="position:absolute;left:0pt;margin-left:404.15pt;margin-top:72.55pt;height:2.75pt;width:2.75pt;mso-position-horizontal-relative:page;mso-position-vertical-relative:page;z-index:-251641856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041" o:spid="_x0000_s1041" o:spt="75" type="#_x0000_t75" style="position:absolute;left:0pt;margin-left:212.1pt;margin-top:473.3pt;height:5.75pt;width:5pt;mso-position-horizontal-relative:page;mso-position-vertical-relative:page;z-index:-251642880;mso-width-relative:page;mso-height-relative:page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</v:shape>
        </w:pict>
      </w:r>
      <w:r>
        <w:pict>
          <v:shape id="_x0000_s1042" o:spid="_x0000_s1042" o:spt="75" type="#_x0000_t75" style="position:absolute;left:0pt;margin-left:116.8pt;margin-top:769.7pt;height:2.75pt;width:2.75pt;mso-position-horizontal-relative:page;mso-position-vertical-relative:page;z-index:-251643904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43" o:spid="_x0000_s1043" o:spt="75" type="#_x0000_t75" style="position:absolute;left:0pt;margin-left:53pt;margin-top:67.3pt;height:169.35pt;width:167.05pt;mso-position-horizontal-relative:page;mso-position-vertical-relative:page;z-index:-251644928;mso-width-relative:page;mso-height-relative:page;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</v:shape>
        </w:pict>
      </w:r>
      <w:r>
        <w:pict>
          <v:shape id="_x0000_s1044" o:spid="_x0000_s1044" o:spt="75" type="#_x0000_t75" style="position:absolute;left:0pt;margin-left:53pt;margin-top:475.55pt;height:118.3pt;width:68.05pt;mso-position-horizontal-relative:page;mso-position-vertical-relative:page;z-index:-251645952;mso-width-relative:page;mso-height-relative:page;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</v:shape>
        </w:pict>
      </w:r>
      <w:r>
        <w:pict>
          <v:shape id="_x0000_s1045" o:spid="_x0000_s1045" o:spt="75" type="#_x0000_t75" style="position:absolute;left:0pt;margin-left:121.3pt;margin-top:600.85pt;height:16.25pt;width:12.5pt;mso-position-horizontal-relative:page;mso-position-vertical-relative:page;z-index:-251646976;mso-width-relative:page;mso-height-relative:page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全民族团结抗战局面的形成</w:t>
      </w:r>
      <w:r>
        <w:rPr>
          <w:rFonts w:ascii="Times New Roman"/>
          <w:color w:val="000000"/>
          <w:spacing w:val="199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抗日联军后勤装备保障充足</w:t>
      </w:r>
    </w:p>
    <w:p w14:paraId="227B2B3C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苏军进入东北支援中国抗战</w:t>
      </w:r>
      <w:r>
        <w:rPr>
          <w:rFonts w:ascii="Times New Roman"/>
          <w:color w:val="000000"/>
          <w:spacing w:val="200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中国共产党收复失地的信念</w:t>
      </w:r>
    </w:p>
    <w:p w14:paraId="78FC0D4D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9. </w:t>
      </w:r>
      <w:r>
        <w:rPr>
          <w:rFonts w:ascii="宋体"/>
          <w:color w:val="000000"/>
          <w:spacing w:val="0"/>
          <w:sz w:val="21"/>
        </w:rPr>
        <w:t>1978</w:t>
      </w:r>
      <w:r>
        <w:rPr>
          <w:rFonts w:ascii="Times New Roman"/>
          <w:color w:val="000000"/>
          <w:spacing w:val="-6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年，香港“船王”包玉刚表示愿意捐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1000</w:t>
      </w:r>
      <w:r>
        <w:rPr>
          <w:rFonts w:ascii="Times New Roman"/>
          <w:color w:val="000000"/>
          <w:spacing w:val="-6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万美元在北京建一座饭店，同时表达了以他父亲名字命名</w:t>
      </w:r>
    </w:p>
    <w:p w14:paraId="3A39EB87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的愿望。邓小平同志果断拍板同意。1985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年，兆龙饭店落成，邓小平同志破例出席开幕典礼。这表明当时</w:t>
      </w:r>
    </w:p>
    <w:p w14:paraId="71D0C749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中国（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47699B8D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推行市场经济迫在眉睫</w:t>
      </w:r>
      <w:r>
        <w:rPr>
          <w:rFonts w:ascii="Times New Roman"/>
          <w:color w:val="000000"/>
          <w:spacing w:val="241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坚持对外开放毫不动摇</w:t>
      </w:r>
    </w:p>
    <w:p w14:paraId="123B878A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提出了建立经济特区的设想</w:t>
      </w:r>
      <w:r>
        <w:rPr>
          <w:rFonts w:ascii="Times New Roman"/>
          <w:color w:val="000000"/>
          <w:spacing w:val="200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实行“引进来”“走出去”战略</w:t>
      </w:r>
    </w:p>
    <w:p w14:paraId="08746D6B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10.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近代以来，中国学者开始关注埃及古文字。受条件所限，他们推断“原始造字之意，六者俱备，原无分</w:t>
      </w:r>
    </w:p>
    <w:p w14:paraId="0226D007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于中外也”。1905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年，湖南巡抚端方出国考察宪政时途经埃及，拓印了不少碑文，让国人有了确切的研究</w:t>
      </w:r>
    </w:p>
    <w:p w14:paraId="1568C81D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材料，如图是其中的一幅。由此可知（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3A14DB83">
      <w:pPr>
        <w:spacing w:before="273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中埃古文字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造字方法相同</w:t>
      </w:r>
      <w:r>
        <w:rPr>
          <w:rFonts w:ascii="Times New Roman"/>
          <w:color w:val="000000"/>
          <w:spacing w:val="199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两国有相似的历史文化内涵</w:t>
      </w:r>
    </w:p>
    <w:p w14:paraId="0B75E301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不同文明之间需要理解交流</w:t>
      </w:r>
      <w:r>
        <w:rPr>
          <w:rFonts w:ascii="Times New Roman"/>
          <w:color w:val="000000"/>
          <w:spacing w:val="200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清朝官员接受西方政治思想</w:t>
      </w:r>
    </w:p>
    <w:p w14:paraId="40B55162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-4"/>
          <w:sz w:val="21"/>
        </w:rPr>
        <w:t>11.</w:t>
      </w:r>
      <w:r>
        <w:rPr>
          <w:rFonts w:ascii="Times New Roman"/>
          <w:color w:val="000000"/>
          <w:spacing w:val="5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中世纪前期，西欧农奴的生活十分困苦。一顿上好的饭食“通常由两道饭菜组成，一道是粥状的麦糊，</w:t>
      </w:r>
    </w:p>
    <w:p w14:paraId="4D75674D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一道是麦糊状的粥”。到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13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世纪，由于饥馑出现的次数大为减少，且饮食中增加了豆类，农奴变得强壮。</w:t>
      </w:r>
    </w:p>
    <w:p w14:paraId="4D816671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这一变化缘于（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4D368498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城市发展的影响</w:t>
      </w:r>
      <w:r>
        <w:rPr>
          <w:rFonts w:ascii="Times New Roman"/>
          <w:color w:val="000000"/>
          <w:spacing w:val="60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社会秩序趋于稳定</w:t>
      </w:r>
      <w:r>
        <w:rPr>
          <w:rFonts w:ascii="Times New Roman"/>
          <w:color w:val="000000"/>
          <w:spacing w:val="40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美洲物种的传入</w:t>
      </w:r>
      <w:r>
        <w:rPr>
          <w:rFonts w:ascii="Times New Roman"/>
          <w:color w:val="000000"/>
          <w:spacing w:val="61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封君封臣制度解体</w:t>
      </w:r>
    </w:p>
    <w:p w14:paraId="49AAEDC0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12.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伏尔泰在《路易十四时代》中描写了有关巴士底狱神秘囚犯“铁面人”的逸闻。此人总戴着面具，没人</w:t>
      </w:r>
    </w:p>
    <w:p w14:paraId="146286B8">
      <w:pPr>
        <w:spacing w:before="264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3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65B067A5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018DA4D5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3A738768">
      <w:pPr>
        <w:pStyle w:val="6"/>
        <w:sectPr>
          <w:pgSz w:w="11900" w:h="16840"/>
          <w:pgMar w:top="4874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01472F54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bookmarkStart w:id="6" w:name="_GoBack"/>
      <w:bookmarkEnd w:id="6"/>
    </w:p>
    <w:p w14:paraId="76669B9B">
      <w:pPr>
        <w:spacing w:before="0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3" w:name="br4"/>
      <w:bookmarkEnd w:id="3"/>
      <w:r>
        <w:pict>
          <v:shape id="_x0000_s1048" o:spid="_x0000_s1048" o:spt="75" type="#_x0000_t75" style="position:absolute;left:0pt;margin-left:404.15pt;margin-top:72.55pt;height:2.75pt;width:2.75pt;mso-position-horizontal-relative:page;mso-position-vertical-relative:page;z-index:-251648000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049" o:spid="_x0000_s1049" o:spt="75" type="#_x0000_t75" style="position:absolute;left:0pt;margin-left:212.1pt;margin-top:473.3pt;height:5.75pt;width:5pt;mso-position-horizontal-relative:page;mso-position-vertical-relative:page;z-index:-251649024;mso-width-relative:page;mso-height-relative:page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</v:shape>
        </w:pict>
      </w:r>
      <w:r>
        <w:pict>
          <v:shape id="_x0000_s1050" o:spid="_x0000_s1050" o:spt="75" type="#_x0000_t75" style="position:absolute;left:0pt;margin-left:116.8pt;margin-top:769.7pt;height:2.75pt;width:2.75pt;mso-position-horizontal-relative:page;mso-position-vertical-relative:page;z-index:-251650048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51" o:spid="_x0000_s1051" o:spt="75" type="#_x0000_t75" style="position:absolute;left:0pt;margin-left:155.8pt;margin-top:280.4pt;height:16.25pt;width:12.5pt;mso-position-horizontal-relative:page;mso-position-vertical-relative:page;z-index:-251651072;mso-width-relative:page;mso-height-relative:page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-3"/>
          <w:sz w:val="21"/>
        </w:rPr>
        <w:t>知道他的真实姓名、所犯何罪。该书出版后引起很大的反响，“铁面人”的传闻逐渐在民众中“创造出一个</w:t>
      </w:r>
    </w:p>
    <w:p w14:paraId="7425FDF0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无限专横权力的想象世界”。这（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4FEEC25A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有利于出版行业的兴起</w:t>
      </w:r>
      <w:r>
        <w:rPr>
          <w:rFonts w:ascii="Times New Roman"/>
          <w:color w:val="000000"/>
          <w:spacing w:val="241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引发了民众攻占巴士底狱</w:t>
      </w:r>
    </w:p>
    <w:p w14:paraId="156019A8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推动了启蒙运动的产生</w:t>
      </w:r>
      <w:r>
        <w:rPr>
          <w:rFonts w:ascii="Times New Roman"/>
          <w:color w:val="000000"/>
          <w:spacing w:val="242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冲击了封建君主专制统治</w:t>
      </w:r>
    </w:p>
    <w:p w14:paraId="68D96934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13. </w:t>
      </w:r>
      <w:r>
        <w:rPr>
          <w:rFonts w:ascii="宋体"/>
          <w:color w:val="000000"/>
          <w:spacing w:val="0"/>
          <w:sz w:val="21"/>
        </w:rPr>
        <w:t>19</w:t>
      </w:r>
      <w:r>
        <w:rPr>
          <w:rFonts w:ascii="Times New Roman"/>
          <w:color w:val="000000"/>
          <w:spacing w:val="-10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世纪七八十年代，印度人经营的棉纺织工厂由</w:t>
      </w:r>
      <w:r>
        <w:rPr>
          <w:rFonts w:ascii="Times New Roman"/>
          <w:color w:val="000000"/>
          <w:spacing w:val="-8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61</w:t>
      </w:r>
      <w:r>
        <w:rPr>
          <w:rFonts w:ascii="Times New Roman"/>
          <w:color w:val="000000"/>
          <w:spacing w:val="-1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家增至</w:t>
      </w:r>
      <w:r>
        <w:rPr>
          <w:rFonts w:ascii="Times New Roman"/>
          <w:color w:val="000000"/>
          <w:spacing w:val="-10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156</w:t>
      </w:r>
      <w:r>
        <w:rPr>
          <w:rFonts w:ascii="Times New Roman"/>
          <w:color w:val="000000"/>
          <w:spacing w:val="-10"/>
          <w:sz w:val="21"/>
        </w:rPr>
        <w:t xml:space="preserve"> </w:t>
      </w:r>
      <w:r>
        <w:rPr>
          <w:rFonts w:ascii="宋体" w:hAnsi="宋体" w:cs="宋体"/>
          <w:color w:val="000000"/>
          <w:spacing w:val="-4"/>
          <w:sz w:val="21"/>
        </w:rPr>
        <w:t>家。民众希望进一步开拓国货市场。1896</w:t>
      </w:r>
    </w:p>
    <w:p w14:paraId="157A85DF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2"/>
          <w:sz w:val="21"/>
        </w:rPr>
        <w:t>年，加尔各答举办了国货博览会。1906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宋体" w:hAnsi="宋体" w:cs="宋体"/>
          <w:color w:val="000000"/>
          <w:spacing w:val="-5"/>
          <w:sz w:val="21"/>
        </w:rPr>
        <w:t>年，提拉克向人民呼吁：“你们的未来掌握在自己手中……从明天起</w:t>
      </w:r>
    </w:p>
    <w:p w14:paraId="55BAC1E4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7"/>
          <w:sz w:val="21"/>
        </w:rPr>
        <w:t>你们就自由了。”这表明印度（</w:t>
      </w:r>
      <w:r>
        <w:rPr>
          <w:rFonts w:ascii="Times New Roman"/>
          <w:color w:val="000000"/>
          <w:spacing w:val="27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090B3E17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传统棉纺织业得到迅速发展</w:t>
      </w:r>
      <w:r>
        <w:rPr>
          <w:rFonts w:ascii="Times New Roman"/>
          <w:color w:val="000000"/>
          <w:spacing w:val="199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民族解放运动取得初步胜利</w:t>
      </w:r>
    </w:p>
    <w:p w14:paraId="6E78EBCB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民族资产阶级获得广泛支持</w:t>
      </w:r>
      <w:r>
        <w:rPr>
          <w:rFonts w:ascii="Times New Roman"/>
          <w:color w:val="000000"/>
          <w:spacing w:val="200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经济发展推动民族意识增强</w:t>
      </w:r>
    </w:p>
    <w:p w14:paraId="44C06C44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14. </w:t>
      </w:r>
      <w:r>
        <w:rPr>
          <w:rFonts w:ascii="宋体"/>
          <w:color w:val="000000"/>
          <w:spacing w:val="0"/>
          <w:sz w:val="21"/>
        </w:rPr>
        <w:t>T-34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坦克曾是苏联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主战坦克，其总设计师科什金力主采用倾斜式前装甲板，使得防护性能大为提高。</w:t>
      </w:r>
    </w:p>
    <w:p w14:paraId="4C261730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/>
          <w:color w:val="000000"/>
          <w:spacing w:val="0"/>
          <w:sz w:val="21"/>
        </w:rPr>
        <w:t>1940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年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2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月，他带病与团队将样车开到莫斯科参加测试，坦克获批量产。他却因坚持工作导致病情加重而</w:t>
      </w:r>
    </w:p>
    <w:p w14:paraId="6B6C5A6D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去世。由此可知，科什金的研发活动（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0BDDF251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得益于国家灵活的管理体制</w:t>
      </w:r>
      <w:r>
        <w:rPr>
          <w:rFonts w:ascii="Times New Roman"/>
          <w:color w:val="000000"/>
          <w:spacing w:val="199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彰显了苏联世界第一的国力</w:t>
      </w:r>
    </w:p>
    <w:p w14:paraId="20A6C4D4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体现了科技人员的奉献精神</w:t>
      </w:r>
      <w:r>
        <w:rPr>
          <w:rFonts w:ascii="Times New Roman"/>
          <w:color w:val="000000"/>
          <w:spacing w:val="200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改变了国际关系的整体走向</w:t>
      </w:r>
    </w:p>
    <w:p w14:paraId="4C74251D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15. </w:t>
      </w:r>
      <w:r>
        <w:rPr>
          <w:rFonts w:ascii="宋体"/>
          <w:color w:val="000000"/>
          <w:spacing w:val="0"/>
          <w:sz w:val="21"/>
        </w:rPr>
        <w:t>20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世纪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50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年代，美国出版的《兔子婚礼》讲述了白兔和黑兔相爱的童话故事。该书传递出“爱不分肤</w:t>
      </w:r>
    </w:p>
    <w:p w14:paraId="7A9185EF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1"/>
          <w:sz w:val="21"/>
        </w:rPr>
        <w:t>色”的理念，却在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1958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年遭到南方阿拉巴马州“白人公民委员会”的强烈抗议，被禁止发行。这说明美国</w:t>
      </w:r>
    </w:p>
    <w:p w14:paraId="759980D0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0C579986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违背了尊重人权的原则</w:t>
      </w:r>
      <w:r>
        <w:rPr>
          <w:rFonts w:ascii="Times New Roman"/>
          <w:color w:val="000000"/>
          <w:spacing w:val="241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南方仍部分保留奴隶制</w:t>
      </w:r>
    </w:p>
    <w:p w14:paraId="528A6E9E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动物保护主义思想盛行</w:t>
      </w:r>
      <w:r>
        <w:rPr>
          <w:rFonts w:ascii="Times New Roman"/>
          <w:color w:val="000000"/>
          <w:spacing w:val="242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文学领域恪守陈旧观念</w:t>
      </w:r>
    </w:p>
    <w:p w14:paraId="7624183A">
      <w:pPr>
        <w:spacing w:before="222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2"/>
          <w:sz w:val="24"/>
        </w:rPr>
        <w:t>二、非选择题：共</w:t>
      </w:r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宋体"/>
          <w:color w:val="000000"/>
          <w:spacing w:val="0"/>
          <w:sz w:val="24"/>
        </w:rPr>
        <w:t>4</w:t>
      </w:r>
      <w:r>
        <w:rPr>
          <w:rFonts w:ascii="Times New Roman"/>
          <w:color w:val="000000"/>
          <w:spacing w:val="7"/>
          <w:sz w:val="24"/>
        </w:rPr>
        <w:t xml:space="preserve"> </w:t>
      </w:r>
      <w:r>
        <w:rPr>
          <w:rFonts w:ascii="宋体" w:hAnsi="宋体" w:cs="宋体"/>
          <w:color w:val="000000"/>
          <w:spacing w:val="4"/>
          <w:sz w:val="24"/>
        </w:rPr>
        <w:t>题，共</w:t>
      </w:r>
      <w:r>
        <w:rPr>
          <w:rFonts w:ascii="Times New Roman"/>
          <w:color w:val="000000"/>
          <w:spacing w:val="-3"/>
          <w:sz w:val="24"/>
        </w:rPr>
        <w:t xml:space="preserve"> </w:t>
      </w:r>
      <w:r>
        <w:rPr>
          <w:rFonts w:ascii="宋体"/>
          <w:color w:val="000000"/>
          <w:spacing w:val="7"/>
          <w:sz w:val="24"/>
        </w:rPr>
        <w:t>55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分。</w:t>
      </w:r>
    </w:p>
    <w:p w14:paraId="3746670D">
      <w:pPr>
        <w:spacing w:before="22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16.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阅读材料，完成下列要求。</w:t>
      </w:r>
    </w:p>
    <w:p w14:paraId="2EC3C56D">
      <w:pPr>
        <w:spacing w:before="237" w:after="0" w:line="220" w:lineRule="exact"/>
        <w:ind w:left="45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材料一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楷体" w:hAnsi="楷体" w:cs="楷体"/>
          <w:color w:val="000000"/>
          <w:spacing w:val="-2"/>
          <w:sz w:val="21"/>
        </w:rPr>
        <w:t>蔡襄是北宋著名政治家。他任福州知府时，修复五塘等水利设施，“以溉民田，民以为利”。</w:t>
      </w:r>
    </w:p>
    <w:p w14:paraId="01F23C48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他知泉州时，晋江县东南有龟湖塘，环塘而居的有林、黄、苏、郑四姓，天旱时常因用水纠纷引起械斗。</w:t>
      </w:r>
    </w:p>
    <w:p w14:paraId="7E573CBF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-3"/>
          <w:sz w:val="21"/>
        </w:rPr>
        <w:t>蔡襄为此制定《龟湖塘规》，规定由四姓分管堤岸。据《晋江县志》记载，自蔡襄制定塘规后至明朝五百年</w:t>
      </w:r>
    </w:p>
    <w:p w14:paraId="5FC545B7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间，粮食增产常二三倍于他乡。乡人称他为“近郭水利之最大者”。</w:t>
      </w:r>
    </w:p>
    <w:p w14:paraId="62B47531">
      <w:pPr>
        <w:spacing w:before="248" w:after="0" w:line="220" w:lineRule="exact"/>
        <w:ind w:left="5758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——摘编自蔡金发主编《蔡襄及其家世》等</w:t>
      </w:r>
    </w:p>
    <w:p w14:paraId="2FE88AEA">
      <w:pPr>
        <w:spacing w:before="248" w:after="0" w:line="220" w:lineRule="exact"/>
        <w:ind w:left="45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材料二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道光年间，林则徐主政江苏十余载，以治水为要务，足迹遍及全省各地。苏州府、松江府境</w:t>
      </w:r>
    </w:p>
    <w:p w14:paraId="1A11E96F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内的江河淤塞成患，林则徐主持疏浚娄江、白茆河，首创“海口筑坝设闸”之法，外御海潮倒灌，内泄洪</w:t>
      </w:r>
    </w:p>
    <w:p w14:paraId="2387568F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涝入海。他主张“以工代赈”，征民夫浚河，既解民饥馑又治水患。林则徐带人在丹阳上下练湖之间挑挖</w:t>
      </w:r>
    </w:p>
    <w:p w14:paraId="5EA2502A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引河，确保漕运畅通。百姓感念“林公过处，水患化甘霖”。</w:t>
      </w:r>
    </w:p>
    <w:p w14:paraId="55AF2A8B">
      <w:pPr>
        <w:spacing w:before="120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4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18A3710E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46821194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388F1403">
      <w:pPr>
        <w:spacing w:before="0" w:after="0" w:line="220" w:lineRule="exact"/>
        <w:ind w:left="6599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4" w:name="br5"/>
      <w:bookmarkEnd w:id="4"/>
      <w:r>
        <w:pict>
          <v:shape id="_x0000_s1054" o:spid="_x0000_s1054" o:spt="75" type="#_x0000_t75" style="position:absolute;left:0pt;margin-left:404.15pt;margin-top:72.55pt;height:2.75pt;width:2.75pt;mso-position-horizontal-relative:page;mso-position-vertical-relative:page;z-index:-251652096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55" o:spid="_x0000_s1055" o:spt="75" type="#_x0000_t75" style="position:absolute;left:0pt;margin-left:53pt;margin-top:421.5pt;height:148.35pt;width:342.65pt;mso-position-horizontal-relative:page;mso-position-vertical-relative:page;z-index:-251653120;mso-width-relative:page;mso-height-relative:page;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</v:shape>
        </w:pict>
      </w:r>
      <w:r>
        <w:pict>
          <v:shape id="_x0000_s1056" o:spid="_x0000_s1056" o:spt="75" type="#_x0000_t75" style="position:absolute;left:0pt;margin-left:116.8pt;margin-top:769.7pt;height:2.75pt;width:2.75pt;mso-position-horizontal-relative:page;mso-position-vertical-relative:page;z-index:-251654144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rPr>
          <w:rFonts w:ascii="楷体" w:hAnsi="楷体" w:cs="楷体"/>
          <w:color w:val="000000"/>
          <w:spacing w:val="0"/>
          <w:sz w:val="21"/>
        </w:rPr>
        <w:t>——摘编自杨国桢《林则徐传》等</w:t>
      </w:r>
    </w:p>
    <w:p w14:paraId="51A720F7">
      <w:pPr>
        <w:spacing w:before="248" w:after="0" w:line="220" w:lineRule="exact"/>
        <w:ind w:left="45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材料三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广东雷州半岛，由于缺乏蓄水工程，雨季常常泛滥，旱季土地龟裂。为解决群众困难，在党</w:t>
      </w:r>
    </w:p>
    <w:p w14:paraId="798DF44B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的领导下，湛江地方政府决定修建水库和运河。从</w:t>
      </w:r>
      <w:r>
        <w:rPr>
          <w:rFonts w:ascii="Times New Roman"/>
          <w:color w:val="000000"/>
          <w:spacing w:val="0"/>
          <w:sz w:val="21"/>
        </w:rPr>
        <w:t xml:space="preserve"> 1958 </w:t>
      </w:r>
      <w:r>
        <w:rPr>
          <w:rFonts w:ascii="楷体" w:hAnsi="楷体" w:cs="楷体"/>
          <w:color w:val="000000"/>
          <w:spacing w:val="0"/>
          <w:sz w:val="21"/>
        </w:rPr>
        <w:t>年起，湛江先后动员</w:t>
      </w:r>
      <w:r>
        <w:rPr>
          <w:rFonts w:ascii="Times New Roman"/>
          <w:color w:val="000000"/>
          <w:spacing w:val="0"/>
          <w:sz w:val="21"/>
        </w:rPr>
        <w:t xml:space="preserve"> 30 </w:t>
      </w:r>
      <w:r>
        <w:rPr>
          <w:rFonts w:ascii="楷体" w:hAnsi="楷体" w:cs="楷体"/>
          <w:color w:val="000000"/>
          <w:spacing w:val="0"/>
          <w:sz w:val="21"/>
        </w:rPr>
        <w:t>万人，</w:t>
      </w:r>
      <w:r>
        <w:rPr>
          <w:rFonts w:ascii="Times New Roman"/>
          <w:color w:val="000000"/>
          <w:spacing w:val="0"/>
          <w:sz w:val="21"/>
        </w:rPr>
        <w:t>90</w:t>
      </w:r>
      <w:r>
        <w:rPr>
          <w:rFonts w:ascii="楷体" w:hAnsi="楷体" w:cs="楷体"/>
          <w:color w:val="000000"/>
          <w:spacing w:val="0"/>
          <w:sz w:val="21"/>
        </w:rPr>
        <w:t>%是</w:t>
      </w:r>
      <w:r>
        <w:rPr>
          <w:rFonts w:ascii="Times New Roman"/>
          <w:color w:val="000000"/>
          <w:spacing w:val="0"/>
          <w:sz w:val="21"/>
        </w:rPr>
        <w:t xml:space="preserve"> 35 </w:t>
      </w:r>
      <w:r>
        <w:rPr>
          <w:rFonts w:ascii="楷体" w:hAnsi="楷体" w:cs="楷体"/>
          <w:color w:val="000000"/>
          <w:spacing w:val="0"/>
          <w:sz w:val="21"/>
        </w:rPr>
        <w:t>岁以下的</w:t>
      </w:r>
    </w:p>
    <w:p w14:paraId="1F051181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青年。施工中除使用少量现代机械外，技术人员还自制空中运土车、牵引车等，大大提高了工作效率。他</w:t>
      </w:r>
    </w:p>
    <w:p w14:paraId="3B86FEC1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们建成了鹤地水库，开凿了贯穿雷州半岛的“青年运河”，结束了十年九旱的局面。</w:t>
      </w:r>
    </w:p>
    <w:p w14:paraId="0C0D5836">
      <w:pPr>
        <w:spacing w:before="248" w:after="0" w:line="220" w:lineRule="exact"/>
        <w:ind w:left="5758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——摘编自黄圣《湛江雷州青年运河志》等</w:t>
      </w:r>
    </w:p>
    <w:p w14:paraId="664F4660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）根据材料一、二，分别概括蔡襄和林则徐治水的举措。</w:t>
      </w:r>
    </w:p>
    <w:p w14:paraId="19DD4964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）根据材料三，概括指出湛江治水的特点。</w:t>
      </w:r>
    </w:p>
    <w:p w14:paraId="1D396A34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）根据材料一，二、三并结合所学知识，归纳古今治水的共同经验。</w:t>
      </w:r>
    </w:p>
    <w:p w14:paraId="61E1DEF8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17.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阅读材料，完成下列要求。</w:t>
      </w:r>
    </w:p>
    <w:p w14:paraId="6DBE3AEC">
      <w:pPr>
        <w:spacing w:before="237" w:after="0" w:line="220" w:lineRule="exact"/>
        <w:ind w:left="45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材料</w:t>
      </w:r>
      <w:r>
        <w:rPr>
          <w:rFonts w:ascii="Times New Roman"/>
          <w:color w:val="000000"/>
          <w:spacing w:val="93"/>
          <w:sz w:val="21"/>
        </w:rPr>
        <w:t xml:space="preserve"> </w:t>
      </w:r>
      <w:r>
        <w:rPr>
          <w:rFonts w:ascii="楷体" w:hAnsi="楷体" w:cs="楷体"/>
          <w:color w:val="000000"/>
          <w:spacing w:val="-7"/>
          <w:sz w:val="21"/>
        </w:rPr>
        <w:t>《尚书·禹贡》中“禹别九州”蕴含着“中国一统”的理想建构。唐朝杜佑的《通典·州郡》“以</w:t>
      </w:r>
    </w:p>
    <w:p w14:paraId="2B8F49DB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-3"/>
          <w:sz w:val="21"/>
        </w:rPr>
        <w:t>九州为纲”延续了《禹贡》九州的认知。两宋以前，“九州”的中心区域在河洛地区。从元朝开始，南北混</w:t>
      </w:r>
    </w:p>
    <w:p w14:paraId="11E28F23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一，各民族进一步交往交流交融，突破了《禹贡》九州范围的认知，幽燕地区成为新的中心区域，到清朝</w:t>
      </w:r>
    </w:p>
    <w:p w14:paraId="4813F0E3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前中期中国实现了空前的大一统。</w:t>
      </w:r>
    </w:p>
    <w:p w14:paraId="441C619F">
      <w:pPr>
        <w:spacing w:before="248" w:after="0" w:line="220" w:lineRule="exact"/>
        <w:ind w:left="3027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——摘编自李治安《元明清“华夷一统”到“中华一统”的话语转换》等</w:t>
      </w:r>
    </w:p>
    <w:p w14:paraId="1D999E51">
      <w:pPr>
        <w:spacing w:before="3370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根据材料，用斜线“//////”分别在答题卡上的图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1、图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2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-5"/>
          <w:sz w:val="21"/>
        </w:rPr>
        <w:t>中标示出当时“九州”的中心区域；（要求：每</w:t>
      </w:r>
    </w:p>
    <w:p w14:paraId="379B9123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2"/>
          <w:sz w:val="21"/>
        </w:rPr>
        <w:t>图限标一处，范围大小适中）结合中国古代史知识，就“九州”的认知写一篇历史短文。（要求：论题明确、</w:t>
      </w:r>
    </w:p>
    <w:p w14:paraId="71797BA3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史论结合、逻辑严谨、表述成文）</w:t>
      </w:r>
    </w:p>
    <w:p w14:paraId="7DDDCD2A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18.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阅读材料，完成下列要求。</w:t>
      </w:r>
    </w:p>
    <w:p w14:paraId="65613209">
      <w:pPr>
        <w:spacing w:before="226" w:after="0" w:line="243" w:lineRule="exact"/>
        <w:ind w:left="45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材料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“下江人”主要指抗日战争时期由上海、江浙等地迁移到重庆等西南大后方的移民群体。</w:t>
      </w:r>
      <w:r>
        <w:rPr>
          <w:rFonts w:ascii="Times New Roman"/>
          <w:color w:val="000000"/>
          <w:spacing w:val="0"/>
          <w:sz w:val="21"/>
        </w:rPr>
        <w:t>1937</w:t>
      </w:r>
    </w:p>
    <w:p w14:paraId="0A95465A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年以来，上海、江浙等地相继沦陷，大批民众向西南地区内迁。随着移民的到来，重庆的下江馆子乘时崛</w:t>
      </w:r>
    </w:p>
    <w:p w14:paraId="529A6F87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起，苏州、常州式的小馒头、汤包成为常见的食物。街头“市招飘展，不书南京，即书上海”“南北方言，</w:t>
      </w:r>
    </w:p>
    <w:p w14:paraId="63BDD334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溢洋于耳”，本地人的方言也多了些国语味道。下江人穿西装旗袍、涂口红等时髦装扮也受到追捧。重庆</w:t>
      </w:r>
    </w:p>
    <w:p w14:paraId="566AD408">
      <w:pPr>
        <w:spacing w:before="276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5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21A1F961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36819513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57BFBAF2">
      <w:pPr>
        <w:spacing w:before="0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5" w:name="br6"/>
      <w:bookmarkEnd w:id="5"/>
      <w:r>
        <w:pict>
          <v:shape id="_x0000_s1059" o:spid="_x0000_s1059" o:spt="75" type="#_x0000_t75" style="position:absolute;left:0pt;margin-left:404.15pt;margin-top:72.55pt;height:2.75pt;width:2.75pt;mso-position-horizontal-relative:page;mso-position-vertical-relative:page;z-index:-251655168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060" o:spid="_x0000_s1060" o:spt="75" type="#_x0000_t75" style="position:absolute;left:0pt;margin-left:212.1pt;margin-top:473.3pt;height:5.75pt;width:5pt;mso-position-horizontal-relative:page;mso-position-vertical-relative:page;z-index:-251656192;mso-width-relative:page;mso-height-relative:page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</v:shape>
        </w:pict>
      </w:r>
      <w:r>
        <w:pict>
          <v:shape id="_x0000_s1061" o:spid="_x0000_s1061" o:spt="75" type="#_x0000_t75" style="position:absolute;left:0pt;margin-left:116.8pt;margin-top:769.7pt;height:2.75pt;width:2.75pt;mso-position-horizontal-relative:page;mso-position-vertical-relative:page;z-index:-251657216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rPr>
          <w:rFonts w:ascii="楷体" w:hAnsi="楷体" w:cs="楷体"/>
          <w:color w:val="000000"/>
          <w:spacing w:val="0"/>
          <w:sz w:val="21"/>
        </w:rPr>
        <w:t>因下江人的迁入，在市政、交通等现代化建设方面有了较大发展，逐步形成“小上海”风格。随着本地人</w:t>
      </w:r>
    </w:p>
    <w:p w14:paraId="30ECE495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与下江人不断接触，他们追求婚姻自由、男女平等，共同投身于抗战和大后方建设。</w:t>
      </w:r>
    </w:p>
    <w:p w14:paraId="19348B13">
      <w:pPr>
        <w:spacing w:before="248" w:after="0" w:line="220" w:lineRule="exact"/>
        <w:ind w:left="6809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——摘编自《张恨水说重庆》等</w:t>
      </w:r>
    </w:p>
    <w:p w14:paraId="69BAC1C4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）根据材料，指出“下江人”移民的特点。</w:t>
      </w:r>
    </w:p>
    <w:p w14:paraId="20E50FC4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）根据材料并结合所学知识，说明“下江人”移民重庆的积极作用。</w:t>
      </w:r>
    </w:p>
    <w:p w14:paraId="08DBAC7C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19.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柯布西耶是法国著名建筑师。1923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年，他在《走向新建筑》一书中提出建筑革命的主张，对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20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世纪建</w:t>
      </w:r>
    </w:p>
    <w:p w14:paraId="72DC775F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筑影响巨大。阅读材料，完成下列要求。</w:t>
      </w:r>
    </w:p>
    <w:p w14:paraId="1C8404C1">
      <w:pPr>
        <w:spacing w:before="248" w:after="0" w:line="220" w:lineRule="exact"/>
        <w:ind w:left="45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材料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现代的建筑关心住宅，为普通而平常的人关心普通而平常的住宅……在这个革新的时期，建筑</w:t>
      </w:r>
    </w:p>
    <w:p w14:paraId="38DCD68B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-3"/>
          <w:sz w:val="21"/>
        </w:rPr>
        <w:t>的首要任务是提出对价值的修正，并重新修正住宅的组成要素……建筑的历史，在过去的许多世纪里，只在</w:t>
      </w:r>
    </w:p>
    <w:p w14:paraId="7EFEA763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构造上和装饰上缓慢地演变，但是最近的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50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年以来，钢铁和混凝土一路高歌猛进，建造能力有了巨大提高，</w:t>
      </w:r>
    </w:p>
    <w:p w14:paraId="781FBA90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一些古老的建筑法则为之所抛弃。与过去相比较，我们就会发现那些“风格”对我们来说已经不复存在了，</w:t>
      </w:r>
    </w:p>
    <w:p w14:paraId="636FC4A4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一种属于我们时代的风格已经建立起来，这就是革命。</w:t>
      </w:r>
    </w:p>
    <w:p w14:paraId="73C94842">
      <w:pPr>
        <w:spacing w:before="248" w:after="0" w:line="220" w:lineRule="exact"/>
        <w:ind w:left="6389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——（法）柯布西耶《走向新建筑》</w:t>
      </w:r>
    </w:p>
    <w:p w14:paraId="139181DF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）根据材料，柯布西耶建筑革命的主张是革新建筑的价值、____和____。</w:t>
      </w:r>
    </w:p>
    <w:p w14:paraId="101009F8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）根据材料并结合所学知识，说明柯布西耶提出建筑革命的历史背景。</w:t>
      </w:r>
    </w:p>
    <w:p w14:paraId="175C36EA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）根据材料并结合所学知识，简析柯布西耶建筑革命主张的影响。</w:t>
      </w:r>
    </w:p>
    <w:p w14:paraId="4220A44A">
      <w:pPr>
        <w:spacing w:before="6664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sectPr>
      <w:pgSz w:w="11900" w:h="16840"/>
      <w:pgMar w:top="1452" w:right="100" w:bottom="0" w:left="1080" w:header="720" w:footer="720" w:gutter="0"/>
      <w:pgNumType w:start="1"/>
      <w:cols w:space="720" w:num="1"/>
      <w:docGrid w:linePitch="1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AFF" w:usb1="C0007841" w:usb2="00000009" w:usb3="00000000" w:csb0="400001FF" w:csb1="FFFF0000"/>
    <w:embedRegular r:id="rId1" w:fontKey="{9CB056A0-3229-43EA-BB24-B0955AA87820}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  <w:embedRegular r:id="rId2" w:fontKey="{D6189BC6-5E8E-415F-A8AB-784973B04246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6EF445C1-4690-42F9-A553-5223C6827538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4" w:fontKey="{BA764699-7497-438C-8A6C-9D59EB26B57C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5" w:fontKey="{9EBCE777-CDA6-440E-99E4-284E7B2E9274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6" w:fontKey="{8747C3DC-1FF3-407C-8869-8CB67C3C78A4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7" w:fontKey="{DDECDB56-3658-4266-8178-B0024B9B5A11}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8" w:fontKey="{29C0820B-A314-48FC-86CB-863D9299D11E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4DEE551">
    <w:pPr>
      <w:pStyle w:val="2"/>
      <w:pBdr>
        <w:bottom w:val="none" w:color="auto" w:sz="0" w:space="0"/>
      </w:pBdr>
      <w:jc w:val="center"/>
      <w:rPr>
        <w:rFonts w:hint="eastAsia" w:eastAsiaTheme="minorEastAsia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CA326FB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D5EECE8">
    <w:pPr>
      <w:pStyle w:val="2"/>
      <w:pBdr>
        <w:bottom w:val="none" w:color="auto" w:sz="0" w:space="0"/>
      </w:pBd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117B40D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1556881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75B6F58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embedSystemFonts/>
  <w:documentProtection w:enforcement="0"/>
  <w:defaultTabStop w:val="708"/>
  <w:characterSpacingControl w:val="doNotCompress"/>
  <w:footnotePr>
    <w:footnote w:id="0"/>
    <w:footnote w:id="1"/>
  </w:foot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5B2D"/>
    <w:rsid w:val="00B06B85"/>
    <w:rsid w:val="00BA5B2D"/>
    <w:rsid w:val="2A3608C8"/>
    <w:rsid w:val="66B27CBF"/>
    <w:rsid w:val="70946C31"/>
    <w:rsid w:val="776703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uiPriority="99" w:name="heading 1"/>
    <w:lsdException w:uiPriority="99" w:name="heading 2"/>
    <w:lsdException w:uiPriority="99" w:name="heading 3"/>
    <w:lsdException w:uiPriority="99" w:name="heading 4"/>
    <w:lsdException w:uiPriority="99" w:name="heading 5"/>
    <w:lsdException w:uiPriority="99" w:name="heading 6"/>
    <w:lsdException w:uiPriority="99" w:name="heading 7"/>
    <w:lsdException w:uiPriority="99" w:name="heading 8"/>
    <w:lsdException w:uiPriority="9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99" w:name="toc 1"/>
    <w:lsdException w:uiPriority="99" w:name="toc 2"/>
    <w:lsdException w:uiPriority="99" w:name="toc 3"/>
    <w:lsdException w:uiPriority="99" w:name="toc 4"/>
    <w:lsdException w:uiPriority="99" w:name="toc 5"/>
    <w:lsdException w:uiPriority="99" w:name="toc 6"/>
    <w:lsdException w:uiPriority="99" w:name="toc 7"/>
    <w:lsdException w:uiPriority="99" w:name="toc 8"/>
    <w:lsdException w:uiPriority="9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uiPriority="99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uiPriority="99" w:name="Title"/>
    <w:lsdException w:uiPriority="99" w:name="Closing"/>
    <w:lsdException w:uiPriority="99" w:name="Signature"/>
    <w:lsdException w:qFormat="1" w:unhideWhenUsed="0" w:uiPriority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uiPriority="99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uiPriority="99" w:name="Strong"/>
    <w:lsdException w:uiPriority="99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qFormat="1" w:unhideWhenUsed="0" w:uiPriority="0" w:name="No Lis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9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link w:val="5"/>
    <w:qFormat/>
    <w:uiPriority w:val="0"/>
    <w:pPr>
      <w:spacing w:before="120" w:after="240"/>
      <w:jc w:val="both"/>
    </w:pPr>
    <w:rPr>
      <w:rFonts w:asciiTheme="minorHAnsi" w:hAnsiTheme="minorHAnsi" w:eastAsiaTheme="minorEastAsia" w:cstheme="minorBidi"/>
      <w:sz w:val="22"/>
      <w:szCs w:val="22"/>
      <w:lang w:val="en-US" w:eastAsia="en-US" w:bidi="ar-SA"/>
    </w:rPr>
  </w:style>
  <w:style w:type="character" w:default="1" w:styleId="5">
    <w:name w:val="Default Paragraph Font"/>
    <w:link w:val="1"/>
    <w:semiHidden/>
    <w:qFormat/>
    <w:uiPriority w:val="0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default="1" w:styleId="6">
    <w:name w:val="No List"/>
    <w:semiHidden/>
    <w:qFormat/>
    <w:uiPriority w:val="0"/>
    <w:rPr>
      <w:rFonts w:asciiTheme="minorHAnsi" w:hAnsiTheme="minorHAnsi" w:eastAsiaTheme="minorEastAsia" w:cstheme="minorBidi"/>
      <w:sz w:val="22"/>
      <w:szCs w:val="22"/>
      <w:lang w:val="en-US" w:eastAsia="zh-CN" w:bidi="ar-SA"/>
    </w:rPr>
  </w:style>
  <w:style w:type="paragraph" w:styleId="2">
    <w:name w:val="footer"/>
    <w:basedOn w:val="1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semiHidden/>
    <w:unhideWhenUsed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customStyle="1" w:styleId="7">
    <w:name w:val="Table Normal"/>
    <w:semiHidden/>
    <w:qFormat/>
    <w:uiPriority w:val="0"/>
    <w:tblPr>
      <w:tblCellMar>
        <w:top w:w="0" w:type="dxa"/>
        <w:left w:w="108" w:type="dxa"/>
        <w:bottom w:w="0" w:type="dxa"/>
        <w:right w:w="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3.xml"/><Relationship Id="rId8" Type="http://schemas.openxmlformats.org/officeDocument/2006/relationships/footer" Target="footer2.xml"/><Relationship Id="rId7" Type="http://schemas.openxmlformats.org/officeDocument/2006/relationships/footer" Target="footer1.xml"/><Relationship Id="rId6" Type="http://schemas.openxmlformats.org/officeDocument/2006/relationships/header" Target="header3.xml"/><Relationship Id="rId5" Type="http://schemas.openxmlformats.org/officeDocument/2006/relationships/header" Target="header2.xml"/><Relationship Id="rId4" Type="http://schemas.openxmlformats.org/officeDocument/2006/relationships/header" Target="header1.xml"/><Relationship Id="rId3" Type="http://schemas.openxmlformats.org/officeDocument/2006/relationships/footnotes" Target="footnotes.xml"/><Relationship Id="rId23" Type="http://schemas.openxmlformats.org/officeDocument/2006/relationships/fontTable" Target="fontTable.xml"/><Relationship Id="rId22" Type="http://schemas.openxmlformats.org/officeDocument/2006/relationships/customXml" Target="../customXml/item1.xml"/><Relationship Id="rId21" Type="http://schemas.openxmlformats.org/officeDocument/2006/relationships/image" Target="media/image11.jpeg"/><Relationship Id="rId20" Type="http://schemas.openxmlformats.org/officeDocument/2006/relationships/image" Target="media/image10.jpeg"/><Relationship Id="rId2" Type="http://schemas.openxmlformats.org/officeDocument/2006/relationships/settings" Target="settings.xml"/><Relationship Id="rId19" Type="http://schemas.openxmlformats.org/officeDocument/2006/relationships/image" Target="media/image9.jpeg"/><Relationship Id="rId18" Type="http://schemas.openxmlformats.org/officeDocument/2006/relationships/image" Target="media/image8.jpeg"/><Relationship Id="rId17" Type="http://schemas.openxmlformats.org/officeDocument/2006/relationships/image" Target="media/image7.jpeg"/><Relationship Id="rId16" Type="http://schemas.openxmlformats.org/officeDocument/2006/relationships/image" Target="media/image6.jpeg"/><Relationship Id="rId15" Type="http://schemas.openxmlformats.org/officeDocument/2006/relationships/image" Target="media/image5.jpeg"/><Relationship Id="rId14" Type="http://schemas.openxmlformats.org/officeDocument/2006/relationships/image" Target="media/image4.jpeg"/><Relationship Id="rId13" Type="http://schemas.openxmlformats.org/officeDocument/2006/relationships/image" Target="media/image3.jpeg"/><Relationship Id="rId12" Type="http://schemas.openxmlformats.org/officeDocument/2006/relationships/image" Target="media/image2.jpeg"/><Relationship Id="rId11" Type="http://schemas.openxmlformats.org/officeDocument/2006/relationships/image" Target="media/image1.jpeg"/><Relationship Id="rId10" Type="http://schemas.openxmlformats.org/officeDocument/2006/relationships/theme" Target="theme/theme1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7"/>
    <customShpInfo spid="_x0000_s1028"/>
    <customShpInfo spid="_x0000_s1029"/>
    <customShpInfo spid="_x0000_s1032"/>
    <customShpInfo spid="_x0000_s1033"/>
    <customShpInfo spid="_x0000_s1034"/>
    <customShpInfo spid="_x0000_s1035"/>
    <customShpInfo spid="_x0000_s1036"/>
    <customShpInfo spid="_x0000_s1037"/>
    <customShpInfo spid="_x0000_s1040"/>
    <customShpInfo spid="_x0000_s1041"/>
    <customShpInfo spid="_x0000_s1042"/>
    <customShpInfo spid="_x0000_s1043"/>
    <customShpInfo spid="_x0000_s1044"/>
    <customShpInfo spid="_x0000_s1045"/>
    <customShpInfo spid="_x0000_s1048"/>
    <customShpInfo spid="_x0000_s1049"/>
    <customShpInfo spid="_x0000_s1050"/>
    <customShpInfo spid="_x0000_s1051"/>
    <customShpInfo spid="_x0000_s1054"/>
    <customShpInfo spid="_x0000_s1055"/>
    <customShpInfo spid="_x0000_s1056"/>
    <customShpInfo spid="_x0000_s1059"/>
    <customShpInfo spid="_x0000_s1060"/>
    <customShpInfo spid="_x0000_s106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Aspose</Company>
  <Pages>12</Pages>
  <Words>4003</Words>
  <Characters>4171</Characters>
  <Lines>0</Lines>
  <Paragraphs>136</Paragraphs>
  <TotalTime>3</TotalTime>
  <ScaleCrop>false</ScaleCrop>
  <LinksUpToDate>false</LinksUpToDate>
  <CharactersWithSpaces>4385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2025-06-16T09:48:00Z</dcterms:created>
  <dc:creator>Administrator</dc:creator>
  <cp:lastModifiedBy>上帝掷骰子吗</cp:lastModifiedBy>
  <dcterms:modified xsi:type="dcterms:W3CDTF">2026-02-10T06:55:21Z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eyJoZGlkIjoiMjljNjk0N2RhMTc0NzI3ZTQwZWEyZWMyMzA2NzliMDQiLCJ1c2VySWQiOiI3ODUwOTA2ODcifQ==</vt:lpwstr>
  </property>
  <property fmtid="{D5CDD505-2E9C-101B-9397-08002B2CF9AE}" pid="3" name="KSOProductBuildVer">
    <vt:lpwstr>2052-12.1.0.24657</vt:lpwstr>
  </property>
  <property fmtid="{D5CDD505-2E9C-101B-9397-08002B2CF9AE}" pid="4" name="ICV">
    <vt:lpwstr>AFF31A6B9E104125BBC15A49D2C9226F_12</vt:lpwstr>
  </property>
</Properties>
</file>