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92657E">
      <w:pPr>
        <w:spacing w:before="0" w:after="0" w:line="325" w:lineRule="exact"/>
        <w:ind w:left="3055" w:right="0" w:firstLine="0"/>
        <w:jc w:val="left"/>
        <w:rPr>
          <w:rFonts w:ascii="Times New Roman"/>
          <w:color w:val="000000"/>
          <w:spacing w:val="0"/>
          <w:sz w:val="32"/>
        </w:rPr>
      </w:pPr>
      <w:r>
        <w:pict>
          <v:shape id="_x00000" o:spid="_x0000_s1026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1" o:spid="_x0000_s1027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2" o:spid="_x0000_s1028" o:spt="75" type="#_x0000_t75" style="position:absolute;left:0pt;margin-left:200.1pt;margin-top:260.1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3" o:spid="_x0000_s1029" o:spt="75" type="#_x0000_t75" style="position:absolute;left:0pt;margin-left:150.55pt;margin-top:283.35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4" o:spid="_x0000_s1030" o:spt="75" type="#_x0000_t75" style="position:absolute;left:0pt;margin-left:47pt;margin-top:302.2pt;height:222.6pt;width:419.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rPr>
          <w:rFonts w:ascii="宋体"/>
          <w:color w:val="000000"/>
          <w:spacing w:val="9"/>
          <w:sz w:val="32"/>
        </w:rPr>
        <w:t>2025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年江西高考历史真题</w:t>
      </w:r>
    </w:p>
    <w:p w14:paraId="7CC2A91B">
      <w:pPr>
        <w:spacing w:before="21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一、选择题</w:t>
      </w:r>
    </w:p>
    <w:p w14:paraId="756D65B9">
      <w:pPr>
        <w:spacing w:before="17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公元前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712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年，滕侯、薛侯去拜见鲁隐公，薛侯以“先封”为由要求行礼位置的次序在前，滕侯反驳说：</w:t>
      </w:r>
    </w:p>
    <w:p w14:paraId="7230617B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“薛，庶姓也，我不可以后之。”于是，鲁隐公安排滕侯在先。鲁隐公的做法（</w:t>
      </w:r>
      <w:r>
        <w:rPr>
          <w:rFonts w:ascii="Times New Roman"/>
          <w:color w:val="000000"/>
          <w:spacing w:val="26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076F56F">
      <w:pPr>
        <w:spacing w:before="2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改革了晋谒礼仪</w:t>
      </w:r>
      <w:r>
        <w:rPr>
          <w:rFonts w:ascii="Times New Roman"/>
          <w:color w:val="000000"/>
          <w:spacing w:val="60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激化了嫡庶矛盾</w:t>
      </w:r>
      <w:r>
        <w:rPr>
          <w:rFonts w:ascii="Times New Roman"/>
          <w:color w:val="000000"/>
          <w:spacing w:val="61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破坏了分封制度</w:t>
      </w:r>
      <w:r>
        <w:rPr>
          <w:rFonts w:ascii="Times New Roman"/>
          <w:color w:val="000000"/>
          <w:spacing w:val="61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维护了宗法秩序</w:t>
      </w:r>
    </w:p>
    <w:p w14:paraId="792BCDE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各地出土的汉代器物上多次出现“市”的戳记，如陶器上的“襄阳市”“马邑市”等，漆器上的“成市”</w:t>
      </w:r>
    </w:p>
    <w:p w14:paraId="537309ED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“莒市”等。又四川绵竹出土的“成都市平”铁累，大足出土的“汶江市平”铁累，均应是经市府核验过</w:t>
      </w:r>
    </w:p>
    <w:p w14:paraId="136A5CA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的衡器。这些发现说明汉代</w:t>
      </w:r>
    </w:p>
    <w:p w14:paraId="09C8CFF5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手工业技术发达</w:t>
      </w:r>
      <w:r>
        <w:rPr>
          <w:rFonts w:ascii="Times New Roman"/>
          <w:color w:val="000000"/>
          <w:spacing w:val="60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市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功能多样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商品交易的频繁</w:t>
      </w:r>
      <w:r>
        <w:rPr>
          <w:rFonts w:ascii="Times New Roman"/>
          <w:color w:val="000000"/>
          <w:spacing w:val="61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市的管理完善</w:t>
      </w:r>
    </w:p>
    <w:p w14:paraId="5FCF6C6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不同史籍有关郭泰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记载</w:t>
      </w:r>
    </w:p>
    <w:p w14:paraId="079E6A51">
      <w:pPr>
        <w:spacing w:before="32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记载</w:t>
      </w:r>
      <w:r>
        <w:rPr>
          <w:rFonts w:ascii="Times New Roman"/>
          <w:color w:val="000000"/>
          <w:spacing w:val="551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出处</w:t>
      </w:r>
    </w:p>
    <w:p w14:paraId="436A2DFF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4"/>
          <w:sz w:val="21"/>
        </w:rPr>
        <w:t>先生讳泰，字林宗……以建宁二年正月乙亥卒……于是树碑表墓，</w:t>
      </w:r>
      <w:r>
        <w:rPr>
          <w:rFonts w:ascii="Times New Roman"/>
          <w:color w:val="000000"/>
          <w:spacing w:val="-3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《昭明文选》收录蔡邕</w:t>
      </w:r>
    </w:p>
    <w:p w14:paraId="64820B9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昭铭景行，俾芳烈奋于百世，令问显于无穷。</w:t>
      </w:r>
      <w:r>
        <w:rPr>
          <w:rFonts w:ascii="Times New Roman"/>
          <w:color w:val="000000"/>
          <w:spacing w:val="172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《郭有道碑》</w:t>
      </w:r>
    </w:p>
    <w:p w14:paraId="5EE1C850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4"/>
          <w:sz w:val="21"/>
        </w:rPr>
        <w:t>郭泰字林宗……及卒，蔡伯喈（蔡邕）为作碑，曰：“吾为人作</w:t>
      </w:r>
      <w:r>
        <w:rPr>
          <w:rFonts w:ascii="Times New Roman"/>
          <w:color w:val="000000"/>
          <w:spacing w:val="17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《世说新语》刘孝标注</w:t>
      </w:r>
    </w:p>
    <w:p w14:paraId="27E4352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5"/>
          <w:sz w:val="21"/>
        </w:rPr>
        <w:t>铭，未尝不有惭容，唯为郭有道碑颂无愧耳。”</w:t>
      </w:r>
      <w:r>
        <w:rPr>
          <w:rFonts w:ascii="Times New Roman"/>
          <w:color w:val="000000"/>
          <w:spacing w:val="162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引西晋司马彪《续汉书》</w:t>
      </w:r>
    </w:p>
    <w:p w14:paraId="7BC6AEE8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林宗秀立高跱，詹然渊渟。蔡伯喈（蔡邕）告卢子干、马日磾</w:t>
      </w:r>
    </w:p>
    <w:p w14:paraId="51669163">
      <w:pPr>
        <w:spacing w:before="0" w:after="0" w:line="234" w:lineRule="exact"/>
        <w:ind w:left="0" w:right="2593" w:firstLine="5983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 xml:space="preserve">《太平御览》引《郭子 </w:t>
      </w:r>
      <w:r>
        <w:rPr>
          <w:rFonts w:ascii="宋体" w:hAnsi="宋体" w:cs="宋体"/>
          <w:color w:val="000000"/>
          <w:spacing w:val="-4"/>
          <w:sz w:val="21"/>
        </w:rPr>
        <w:t>曰：“为天下作碑铭多矣，未尝不有惭色，唯郭先生碑颂，无愧</w:t>
      </w:r>
    </w:p>
    <w:p w14:paraId="00F18D12">
      <w:pPr>
        <w:spacing w:before="0" w:after="0" w:line="234" w:lineRule="exact"/>
        <w:ind w:left="0" w:right="4064" w:firstLine="5983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 xml:space="preserve">别传》 </w:t>
      </w:r>
      <w:r>
        <w:rPr>
          <w:rFonts w:ascii="宋体" w:hAnsi="宋体" w:cs="宋体"/>
          <w:color w:val="000000"/>
          <w:spacing w:val="-26"/>
          <w:sz w:val="21"/>
        </w:rPr>
        <w:t>色耳。”</w:t>
      </w:r>
    </w:p>
    <w:p w14:paraId="3C130D7E">
      <w:pPr>
        <w:spacing w:before="33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根据该表，能够被认定的历史事实是（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A05EDA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郭泰碑文亡佚不存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郭泰品行冠绝士林</w:t>
      </w:r>
      <w:r>
        <w:rPr>
          <w:rFonts w:ascii="Times New Roman"/>
          <w:color w:val="000000"/>
          <w:spacing w:val="4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蔡邕撰碑语多谀辞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蔡邕亲撰郭泰碑文</w:t>
      </w:r>
    </w:p>
    <w:p w14:paraId="58BC13F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开元年间，唐玄宗以节度使牛仙客政绩突出拟提拔他为尚书，但宰相张九龄认为：“仙客本河湟使典，今</w:t>
      </w:r>
    </w:p>
    <w:p w14:paraId="1930383F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骤居清要，恐羞朝廷”，唐玄宗怒形于色道“卿嫌仙客寒微，如卿有何阀阅？”仍然任命牛仙客为尚书。</w:t>
      </w:r>
    </w:p>
    <w:p w14:paraId="5A9E929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由此可知，当时（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4F96A6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皇权相权相互制约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门阀观念左右朝政</w:t>
      </w:r>
      <w:r>
        <w:rPr>
          <w:rFonts w:ascii="Times New Roman"/>
          <w:color w:val="000000"/>
          <w:spacing w:val="4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人才任用不拘一格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藩镇势力逐步崛起</w:t>
      </w:r>
    </w:p>
    <w:p w14:paraId="436DD54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顾炎武曾说：“自三代以下，人主之于民……凡所以为厚生正德之事，一切置之不理，而听民之所自为。</w:t>
      </w:r>
    </w:p>
    <w:p w14:paraId="26D4BA9F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4"/>
          <w:sz w:val="21"/>
        </w:rPr>
        <w:t>于是乎教化之权，常不在上而在下。”以下能体现这一观点的是（</w:t>
      </w:r>
      <w:r>
        <w:rPr>
          <w:rFonts w:ascii="Times New Roman"/>
          <w:color w:val="000000"/>
          <w:spacing w:val="26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F51142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王安石推行保甲</w:t>
      </w:r>
      <w:r>
        <w:rPr>
          <w:rFonts w:ascii="Times New Roman"/>
          <w:color w:val="000000"/>
          <w:spacing w:val="30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吕大钧撰写《吕氏乡约》</w:t>
      </w:r>
    </w:p>
    <w:p w14:paraId="3F92AE4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张居正整肃吏治</w:t>
      </w:r>
      <w:r>
        <w:rPr>
          <w:rFonts w:ascii="Times New Roman"/>
          <w:color w:val="000000"/>
          <w:spacing w:val="305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王阳明推行“十家牌法”</w:t>
      </w:r>
    </w:p>
    <w:p w14:paraId="1908C215">
      <w:pPr>
        <w:spacing w:before="31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6C1C4EB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89DFD42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205A6A6">
      <w:pPr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7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5ABFFD0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0" w:name="_GoBack"/>
      <w:bookmarkEnd w:id="0"/>
    </w:p>
    <w:p w14:paraId="00E46E60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5" o:spid="_x0000_s1031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6" o:spid="_x0000_s1032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7" o:spid="_x0000_s1033" o:spt="75" type="#_x0000_t75" style="position:absolute;left:0pt;margin-left:47pt;margin-top:88.3pt;height:161.1pt;width:340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" o:title=""/>
            <o:lock v:ext="edit" aspectratio="t"/>
          </v:shape>
        </w:pict>
      </w:r>
      <w:r>
        <w:pict>
          <v:shape id="_x00008" o:spid="_x0000_s1034" o:spt="75" type="#_x0000_t75" style="position:absolute;left:0pt;margin-left:158.05pt;margin-top:251.85pt;height:17pt;width:13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6" o:title=""/>
            <o:lock v:ext="edit" aspectratio="t"/>
          </v:shape>
        </w:pict>
      </w:r>
      <w:r>
        <w:pict>
          <v:shape id="_x00009" o:spid="_x0000_s1035" o:spt="75" type="#_x0000_t75" style="position:absolute;left:0pt;margin-left:47pt;margin-top:317.2pt;height:245.1pt;width:250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7" o:title=""/>
            <o:lock v:ext="edit" aspectratio="t"/>
          </v:shape>
        </w:pict>
      </w:r>
      <w:r>
        <w:pict>
          <v:shape id="_x000010" o:spid="_x0000_s1036" o:spt="75" type="#_x0000_t75" style="position:absolute;left:0pt;margin-left:59.75pt;margin-top:627.05pt;height:8.75pt;width:4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8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 xml:space="preserve">6. </w:t>
      </w:r>
      <w:r>
        <w:rPr>
          <w:rFonts w:ascii="宋体" w:hAnsi="宋体" w:cs="宋体"/>
          <w:color w:val="000000"/>
          <w:spacing w:val="0"/>
          <w:sz w:val="21"/>
        </w:rPr>
        <w:t>1874—1886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年洋务派奏请铺设电报线路举要</w:t>
      </w:r>
    </w:p>
    <w:p w14:paraId="4C04394E">
      <w:pPr>
        <w:spacing w:before="32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时间</w:t>
      </w:r>
      <w:r>
        <w:rPr>
          <w:rFonts w:ascii="Times New Roman"/>
          <w:color w:val="000000"/>
          <w:spacing w:val="12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奏请者</w:t>
      </w:r>
      <w:r>
        <w:rPr>
          <w:rFonts w:ascii="Times New Roman"/>
          <w:color w:val="000000"/>
          <w:spacing w:val="100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线路区间</w:t>
      </w:r>
    </w:p>
    <w:p w14:paraId="637578AB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1874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102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沈葆桢</w:t>
      </w:r>
      <w:r>
        <w:rPr>
          <w:rFonts w:ascii="Times New Roman"/>
          <w:color w:val="000000"/>
          <w:spacing w:val="100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福州到台湾</w:t>
      </w:r>
    </w:p>
    <w:p w14:paraId="4F53E15C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1880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102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李鸿章</w:t>
      </w:r>
      <w:r>
        <w:rPr>
          <w:rFonts w:ascii="Times New Roman"/>
          <w:color w:val="000000"/>
          <w:spacing w:val="100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南北洋陆路之间</w:t>
      </w:r>
    </w:p>
    <w:p w14:paraId="0E84731A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1883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102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张树声</w:t>
      </w:r>
      <w:r>
        <w:rPr>
          <w:rFonts w:ascii="Times New Roman"/>
          <w:color w:val="000000"/>
          <w:spacing w:val="100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广州至广西龙州</w:t>
      </w:r>
    </w:p>
    <w:p w14:paraId="325BAD67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1886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102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刘铭传</w:t>
      </w:r>
      <w:r>
        <w:rPr>
          <w:rFonts w:ascii="Times New Roman"/>
          <w:color w:val="000000"/>
          <w:spacing w:val="100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台湾岛内</w:t>
      </w:r>
    </w:p>
    <w:p w14:paraId="0A28E03B">
      <w:pPr>
        <w:spacing w:before="32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由上表可知，洋务派旨</w:t>
      </w:r>
      <w:r>
        <w:rPr>
          <w:rFonts w:ascii="Times New Roman"/>
          <w:color w:val="000000"/>
          <w:spacing w:val="1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56ACEF5">
      <w:pPr>
        <w:spacing w:before="2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加强国防安全</w:t>
      </w:r>
      <w:r>
        <w:rPr>
          <w:rFonts w:ascii="Times New Roman"/>
          <w:color w:val="000000"/>
          <w:spacing w:val="81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追求经济效益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抵制外资侵入</w:t>
      </w:r>
      <w:r>
        <w:rPr>
          <w:rFonts w:ascii="Times New Roman"/>
          <w:color w:val="000000"/>
          <w:spacing w:val="8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镇压反抗运动</w:t>
      </w:r>
    </w:p>
    <w:p w14:paraId="48AD010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如图为清末某杂志刊登的一幅图画。该图画可用于说明（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1D9CEBB">
      <w:pPr>
        <w:spacing w:before="327" w:after="0" w:line="220" w:lineRule="exact"/>
        <w:ind w:left="277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前日有荷兰国华侨子</w:t>
      </w:r>
    </w:p>
    <w:p w14:paraId="61A34E16">
      <w:pPr>
        <w:spacing w:before="248" w:after="0" w:line="220" w:lineRule="exact"/>
        <w:ind w:left="277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弟五十八人，乘某公</w:t>
      </w:r>
    </w:p>
    <w:p w14:paraId="1F811D66">
      <w:pPr>
        <w:spacing w:before="248" w:after="0" w:line="220" w:lineRule="exact"/>
        <w:ind w:left="277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司邮船由外洋来申，</w:t>
      </w:r>
    </w:p>
    <w:p w14:paraId="5CABC019">
      <w:pPr>
        <w:spacing w:before="248" w:after="0" w:line="220" w:lineRule="exact"/>
        <w:ind w:left="277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在法界公司码头登</w:t>
      </w:r>
    </w:p>
    <w:p w14:paraId="355A0A8A">
      <w:pPr>
        <w:spacing w:before="248" w:after="0" w:line="220" w:lineRule="exact"/>
        <w:ind w:left="277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岸，暂寓旅馆，迟日</w:t>
      </w:r>
    </w:p>
    <w:p w14:paraId="43B5E06D">
      <w:pPr>
        <w:spacing w:before="248" w:after="0" w:line="220" w:lineRule="exact"/>
        <w:ind w:left="277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再乘长江轮船赴宁，</w:t>
      </w:r>
    </w:p>
    <w:p w14:paraId="59ED8CBE">
      <w:pPr>
        <w:spacing w:before="248" w:after="0" w:line="220" w:lineRule="exact"/>
        <w:ind w:left="277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入南洋某学堂肄习汉</w:t>
      </w:r>
    </w:p>
    <w:p w14:paraId="3D71C199">
      <w:pPr>
        <w:spacing w:before="248" w:after="0" w:line="220" w:lineRule="exact"/>
        <w:ind w:left="277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文。以生长异地之人，</w:t>
      </w:r>
    </w:p>
    <w:p w14:paraId="3D895160">
      <w:pPr>
        <w:spacing w:before="248" w:after="0" w:line="220" w:lineRule="exact"/>
        <w:ind w:left="277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而犹能热心祖国若</w:t>
      </w:r>
    </w:p>
    <w:p w14:paraId="1FA525FA">
      <w:pPr>
        <w:spacing w:before="248" w:after="0" w:line="220" w:lineRule="exact"/>
        <w:ind w:left="277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此，呜呼可以讽矣。</w:t>
      </w:r>
    </w:p>
    <w:p w14:paraId="1DCD2E17">
      <w:pPr>
        <w:spacing w:before="79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中外文化交流密切</w:t>
      </w:r>
      <w:r>
        <w:rPr>
          <w:rFonts w:ascii="Times New Roman"/>
          <w:color w:val="000000"/>
          <w:spacing w:val="2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华侨积极投身社会建设</w:t>
      </w:r>
    </w:p>
    <w:p w14:paraId="208D106D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海外华侨支持祖国</w:t>
      </w:r>
      <w:r>
        <w:rPr>
          <w:rFonts w:ascii="Times New Roman"/>
          <w:color w:val="000000"/>
          <w:spacing w:val="284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清末新政推动经济发展</w:t>
      </w:r>
    </w:p>
    <w:p w14:paraId="65623CFA">
      <w:pPr>
        <w:spacing w:before="3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1934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年红五月的扩大红军突击运动中，瑞京（瑞金）3900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多名新战士，经过列宁小学学生宣传鼓动</w:t>
      </w:r>
    </w:p>
    <w:p w14:paraId="2F9AAB8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而参军者有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1500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人；在粮食突击运动中，列宁小学学生打锣高叫：“集中粮食呀！不要使红军哥哥饿肚皮</w:t>
      </w:r>
    </w:p>
    <w:p w14:paraId="21251C2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5"/>
          <w:sz w:val="21"/>
        </w:rPr>
        <w:t>呀！”这表明（</w:t>
      </w:r>
      <w:r>
        <w:rPr>
          <w:rFonts w:ascii="Times New Roman"/>
          <w:color w:val="000000"/>
          <w:spacing w:val="2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F7B93C9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经济工作稳步推进</w:t>
      </w:r>
      <w:r>
        <w:rPr>
          <w:rFonts w:ascii="Times New Roman"/>
          <w:color w:val="000000"/>
          <w:spacing w:val="2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战略转移需要民众支持</w:t>
      </w:r>
    </w:p>
    <w:p w14:paraId="27165DE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苏区教育成效显著</w:t>
      </w:r>
      <w:r>
        <w:rPr>
          <w:rFonts w:ascii="Times New Roman"/>
          <w:color w:val="000000"/>
          <w:spacing w:val="28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集中粮食服务扩大红军</w:t>
      </w:r>
    </w:p>
    <w:p w14:paraId="5FE49ADA">
      <w:pPr>
        <w:spacing w:before="33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12DEC54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72023D9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FF7445D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1" o:spid="_x0000_s1037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9" o:title=""/>
            <o:lock v:ext="edit" aspectratio="t"/>
          </v:shape>
        </w:pict>
      </w:r>
      <w:r>
        <w:pict>
          <v:shape id="_x000012" o:spid="_x0000_s1038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0" o:title=""/>
            <o:lock v:ext="edit" aspectratio="t"/>
          </v:shape>
        </w:pict>
      </w:r>
      <w:r>
        <w:pict>
          <v:shape id="_x000013" o:spid="_x0000_s1039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9" o:title=""/>
            <o:lock v:ext="edit" aspectratio="t"/>
          </v:shape>
        </w:pict>
      </w:r>
      <w:r>
        <w:pict>
          <v:shape id="_x000014" o:spid="_x0000_s1040" o:spt="75" type="#_x0000_t75" style="position:absolute;left:0pt;margin-left:60.5pt;margin-top:459pt;height:8.75pt;width:4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8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 xml:space="preserve">9. </w:t>
      </w:r>
      <w:r>
        <w:rPr>
          <w:rFonts w:ascii="宋体"/>
          <w:color w:val="000000"/>
          <w:spacing w:val="0"/>
          <w:sz w:val="21"/>
        </w:rPr>
        <w:t>1953</w:t>
      </w:r>
      <w:r>
        <w:rPr>
          <w:rFonts w:ascii="Times New Roman"/>
          <w:color w:val="000000"/>
          <w:spacing w:val="-8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年秋，天津劳动模范周志珍在写给山西丰产模范曲耀离的信中说：“咱们都成了国家的主人，在自己</w:t>
      </w:r>
    </w:p>
    <w:p w14:paraId="15B234A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的工厂和土地上愉快地劳动着。这种共同的命运和政治经济地位的变化，把我们工人、农民的心连结到了</w:t>
      </w:r>
    </w:p>
    <w:p w14:paraId="0943EDA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2"/>
          <w:sz w:val="21"/>
        </w:rPr>
        <w:t>一起。”这反映了（</w:t>
      </w:r>
      <w:r>
        <w:rPr>
          <w:rFonts w:ascii="Times New Roman"/>
          <w:color w:val="000000"/>
          <w:spacing w:val="27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75CF0C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国民经济已全面恢复</w:t>
      </w:r>
      <w:r>
        <w:rPr>
          <w:rFonts w:ascii="Times New Roman"/>
          <w:color w:val="000000"/>
          <w:spacing w:val="2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社会主义改造氛围正在形成</w:t>
      </w:r>
    </w:p>
    <w:p w14:paraId="7207F8F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农业合作化顺利完成</w:t>
      </w:r>
      <w:r>
        <w:rPr>
          <w:rFonts w:ascii="Times New Roman"/>
          <w:color w:val="000000"/>
          <w:spacing w:val="26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基层民主管理制度全面建立</w:t>
      </w:r>
    </w:p>
    <w:p w14:paraId="41C766B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自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1964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年至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90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年代末，中法累计达成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199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个工业合作项目。具有代表性的项目包括七十年代的“大化</w:t>
      </w:r>
    </w:p>
    <w:p w14:paraId="248AC221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纤”设备、七八十年代的“超黄蜂”“小羚羊”“海豚”等多个直升机项目和八十年代的大亚湾核电站一</w:t>
      </w:r>
    </w:p>
    <w:p w14:paraId="5FFA4AD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期工程。这可用于说明我国（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BC64999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持续推进四化建设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努力拓宽外贸渠道</w:t>
      </w:r>
      <w:r>
        <w:rPr>
          <w:rFonts w:ascii="Times New Roman"/>
          <w:color w:val="000000"/>
          <w:spacing w:val="4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积极改善工业布局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不断优化产业结构</w:t>
      </w:r>
    </w:p>
    <w:p w14:paraId="38D8C24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公元前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8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世纪前后，莎草纸制作方法经由地中海东岸的港口城市巴比罗斯（byblos）传到古代希腊和罗</w:t>
      </w:r>
    </w:p>
    <w:p w14:paraId="76BED4C4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马，希罗多德以该城的名字“byblos”来命名莎草纸，书的英文单词“book”也是由此衍生而来。这体现</w:t>
      </w:r>
    </w:p>
    <w:p w14:paraId="5C15E8D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8C891B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文明的交流与传承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文明的兴起与发展</w:t>
      </w:r>
      <w:r>
        <w:rPr>
          <w:rFonts w:ascii="Times New Roman"/>
          <w:color w:val="000000"/>
          <w:spacing w:val="4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文明的冲击与回应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文明的多元与多样</w:t>
      </w:r>
    </w:p>
    <w:p w14:paraId="2061599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世纪开始，德意志地区出现了长达数个世纪的拓荒运动，荒野、林地等公有地逐渐消亡，公有地</w:t>
      </w:r>
    </w:p>
    <w:p w14:paraId="16C05155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之上的共同权利成为封建领主的个人权利，大土地经营方式逐渐改变乃至消亡，小土地经营方式增长。这</w:t>
      </w:r>
    </w:p>
    <w:p w14:paraId="0C3842B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些变化（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F82F07B">
      <w:pPr>
        <w:spacing w:before="2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导致农民劳役地租加重</w:t>
      </w:r>
      <w:r>
        <w:rPr>
          <w:rFonts w:ascii="Times New Roman"/>
          <w:color w:val="000000"/>
          <w:spacing w:val="241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推动领主土地产权确立</w:t>
      </w:r>
    </w:p>
    <w:p w14:paraId="18DB2967">
      <w:pPr>
        <w:spacing w:before="3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巩固了德意志邦国制度</w:t>
      </w:r>
      <w:r>
        <w:rPr>
          <w:rFonts w:ascii="Times New Roman"/>
          <w:color w:val="000000"/>
          <w:spacing w:val="24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促使庄园依附关系松动</w:t>
      </w:r>
    </w:p>
    <w:p w14:paraId="655FCF7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格劳秀斯在《论战利品法》中这样描述其研究方法：论证过程中通常会先像数学家一样陈述所有人都能</w:t>
      </w:r>
    </w:p>
    <w:p w14:paraId="60EE009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达成一致的宽泛公理，然后指出某些最一般的规则和法，从而奠定一个可以放心地建立其他结论的基础。</w:t>
      </w:r>
    </w:p>
    <w:p w14:paraId="47CC6AC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这体现了（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936B48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人文主义价值取向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重视经验的科学理念</w:t>
      </w:r>
      <w:r>
        <w:rPr>
          <w:rFonts w:ascii="Times New Roman"/>
          <w:color w:val="000000"/>
          <w:spacing w:val="19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理性化的思维方式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归纳综合的研究方法</w:t>
      </w:r>
    </w:p>
    <w:p w14:paraId="75D589C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在第二个五年计划期间，苏联开展注重工人劳动效率的斯达汉诺夫运动，将个人收入与劳动成果紧密联</w:t>
      </w:r>
    </w:p>
    <w:p w14:paraId="67ED3F03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系。1936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年，有新闻报道称，斯达汉诺夫工作者祖耶夫在该年获得劳动报酬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18524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卢布，而当时工人的月</w:t>
      </w:r>
    </w:p>
    <w:p w14:paraId="0310FCE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均收入为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170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卢布。由此可知，苏联旨在（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098EA0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提高工人收入水平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加速推进工业化进程</w:t>
      </w:r>
      <w:r>
        <w:rPr>
          <w:rFonts w:ascii="Times New Roman"/>
          <w:color w:val="000000"/>
          <w:spacing w:val="19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改变企业管理体制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巩固公有制主体地位</w:t>
      </w:r>
    </w:p>
    <w:p w14:paraId="36B6C19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截至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1974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年，新加坡政府通过联合持股和进入董事会的形式，直接或间接参与了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124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家公司，其中包</w:t>
      </w:r>
    </w:p>
    <w:p w14:paraId="23DC3903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括钢铁、造船、航运等关键工业，它还为私人投资者不太敢贸然进入的领域提供“种子”资本。这表明新</w:t>
      </w:r>
    </w:p>
    <w:p w14:paraId="0FD9C3F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加坡政府（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20F7142">
      <w:pPr>
        <w:spacing w:before="43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05C5789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FB50749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45F9602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5" o:spid="_x0000_s1041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9" o:title=""/>
            <o:lock v:ext="edit" aspectratio="t"/>
          </v:shape>
        </w:pict>
      </w:r>
      <w:r>
        <w:pict>
          <v:shape id="_x000016" o:spid="_x0000_s1042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0" o:title=""/>
            <o:lock v:ext="edit" aspectratio="t"/>
          </v:shape>
        </w:pict>
      </w:r>
      <w:r>
        <w:pict>
          <v:shape id="_x000017" o:spid="_x0000_s1043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重视国家干预作用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扶植个体经济发展</w:t>
      </w:r>
      <w:r>
        <w:rPr>
          <w:rFonts w:ascii="Times New Roman"/>
          <w:color w:val="000000"/>
          <w:spacing w:val="4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强调利用国际资本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推行福利国家建设</w:t>
      </w:r>
    </w:p>
    <w:p w14:paraId="67945C29">
      <w:pPr>
        <w:spacing w:before="174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</w:t>
      </w:r>
    </w:p>
    <w:p w14:paraId="31A483E7">
      <w:pPr>
        <w:spacing w:before="17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69219373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材料一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郑和的出使远航，在古代中国对外关系史和航海史上都是罕见的壮举，它增强了中国同亚非</w:t>
      </w:r>
    </w:p>
    <w:p w14:paraId="5C89EF0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各国的友好交往和经济文化的交流。</w:t>
      </w:r>
    </w:p>
    <w:p w14:paraId="5168184D">
      <w:pPr>
        <w:spacing w:before="248" w:after="0" w:line="220" w:lineRule="exact"/>
        <w:ind w:left="638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——摘自白寿彝总主编《中国通史》</w:t>
      </w:r>
    </w:p>
    <w:p w14:paraId="0B5DCCFB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-3"/>
          <w:sz w:val="21"/>
        </w:rPr>
        <w:t>当郑和下西洋的时候，航行到不同地方，都会遇到很多早已在这里生活的“粤人”和“闽人”。</w:t>
      </w:r>
    </w:p>
    <w:p w14:paraId="5268AF3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更不能忘记的是，郑和下西洋所用的“船师”，就是在福建、广东、浙江招募的“经惯下海者”。实际上，</w:t>
      </w:r>
    </w:p>
    <w:p w14:paraId="3DC3395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郑和航海的路线，最迟在唐代就已经为人们熟悉了。东南沿海的海上人群一直都航行来往在这些海域上。</w:t>
      </w:r>
    </w:p>
    <w:p w14:paraId="1162CD71">
      <w:pPr>
        <w:spacing w:before="248" w:after="0" w:line="220" w:lineRule="exact"/>
        <w:ind w:left="470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——摘编自刘志伟《海上人群是中国海洋历史的主角》</w:t>
      </w:r>
    </w:p>
    <w:p w14:paraId="2C3FD136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材料三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制度、生计、贸易、知识、观念、信仰是影响中国古代海洋文明发展的基本要素。综合考察</w:t>
      </w:r>
    </w:p>
    <w:p w14:paraId="746EEE5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这六个基本要素的生成、发展，才能揭示中国古代海洋文明运行形态和变化轨迹的内在逻辑。</w:t>
      </w:r>
    </w:p>
    <w:p w14:paraId="53348A8A">
      <w:pPr>
        <w:spacing w:before="248" w:after="0" w:line="220" w:lineRule="exact"/>
        <w:ind w:left="407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——摘自黄纯艳《中国古代海洋文明的演进路径与基本特性》</w:t>
      </w:r>
    </w:p>
    <w:p w14:paraId="63C26CB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）材料一、二分别是从什么视角对“郑和下西洋”进行历史叙述？</w:t>
      </w:r>
    </w:p>
    <w:p w14:paraId="64CDA6B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）综合一、二两种视角，并结合材料三及所学知识，重新叙述“郑和下西洋”。</w:t>
      </w:r>
    </w:p>
    <w:p w14:paraId="65F01B4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3350E98F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材料一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1912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年，孙中山就任中华民国临时大总统，这标志着资产阶级共和国在中国的诞生。1913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年，</w:t>
      </w:r>
    </w:p>
    <w:p w14:paraId="6441EC8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梁启超表示：中国今日既为共和国体，则将来政府之组织，不能不以政党为政治原动力，故政党前途与国</w:t>
      </w:r>
    </w:p>
    <w:p w14:paraId="605C060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11"/>
          <w:sz w:val="21"/>
        </w:rPr>
        <w:t>家前途，相依为命。“然今日我国政党，若惟以蹙灭他党为唯一能事，狠鸷（凶狠）卑劣之手段，无所不至……</w:t>
      </w:r>
    </w:p>
    <w:p w14:paraId="6623F86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似此之政党，其福国耶？其祸国耶？”</w:t>
      </w:r>
    </w:p>
    <w:p w14:paraId="73C079C1">
      <w:pPr>
        <w:spacing w:before="248" w:after="0" w:line="220" w:lineRule="exact"/>
        <w:ind w:left="659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——摘编自梁启超《饮冰室合集》</w:t>
      </w:r>
    </w:p>
    <w:p w14:paraId="48FC8DC0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1946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11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24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日，民主同盟发表书面谈话：本年一月举行的政治协商会议，的确为解决国</w:t>
      </w:r>
    </w:p>
    <w:p w14:paraId="6712FB2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是开辟了一个明确而且光明的方式。倘当权负责的政党，真能依据政协决定的程序及早实行了五项决议，</w:t>
      </w:r>
    </w:p>
    <w:p w14:paraId="5672F50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我们绝对相信中国局面必早有了进步。不幸过去十个月中，许多次的团结、统一、和平的机会，都错过了。</w:t>
      </w:r>
    </w:p>
    <w:p w14:paraId="34F1CC11">
      <w:pPr>
        <w:spacing w:before="248" w:after="0" w:line="220" w:lineRule="exact"/>
        <w:ind w:left="276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7"/>
          <w:sz w:val="21"/>
        </w:rPr>
        <w:t>——摘编自《愿保持超然地位继续为调处努力》，《申报》1946</w:t>
      </w:r>
      <w:r>
        <w:rPr>
          <w:rFonts w:ascii="Times New Roman"/>
          <w:color w:val="000000"/>
          <w:spacing w:val="7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11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25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日</w:t>
      </w:r>
    </w:p>
    <w:p w14:paraId="5A73684D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材料三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1949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9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21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楷体" w:hAnsi="楷体" w:cs="楷体"/>
          <w:color w:val="000000"/>
          <w:spacing w:val="-1"/>
          <w:sz w:val="21"/>
        </w:rPr>
        <w:t>日，张治中在中国人民政治协商会议第一届会议上说：从代表的构成分子来看，</w:t>
      </w:r>
    </w:p>
    <w:p w14:paraId="318105E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包括了全国各革命阶级、各民主党派、各民主人士、各界代表、各少数民族，实在充分表现会议的民主精</w:t>
      </w:r>
    </w:p>
    <w:p w14:paraId="1C4DDDD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神，同时也象征着全国人民的空前团结。我们知道，这次会议经过几个月来慎重的周到的筹备，又经过各</w:t>
      </w:r>
    </w:p>
    <w:p w14:paraId="1D2A88B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关系方面慎重的周到的研究磋商，一定可以获得圆满的结果，完成中华人民共和国的诞生。</w:t>
      </w:r>
    </w:p>
    <w:p w14:paraId="4AB857A4">
      <w:pPr>
        <w:spacing w:before="248" w:after="0" w:line="220" w:lineRule="exact"/>
        <w:ind w:left="434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9"/>
          <w:sz w:val="21"/>
        </w:rPr>
        <w:t>——摘编自《张治中讲话》，《人民日报》1949</w:t>
      </w:r>
      <w:r>
        <w:rPr>
          <w:rFonts w:ascii="Times New Roman"/>
          <w:color w:val="000000"/>
          <w:spacing w:val="9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9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22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日</w:t>
      </w:r>
    </w:p>
    <w:p w14:paraId="0327021E">
      <w:pPr>
        <w:spacing w:before="21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3A93433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A49D245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DBD5879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8" o:spid="_x0000_s1044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9" o:title=""/>
            <o:lock v:ext="edit" aspectratio="t"/>
          </v:shape>
        </w:pict>
      </w:r>
      <w:r>
        <w:pict>
          <v:shape id="_x000019" o:spid="_x0000_s1045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0" o:title=""/>
            <o:lock v:ext="edit" aspectratio="t"/>
          </v:shape>
        </w:pict>
      </w:r>
      <w:r>
        <w:pict>
          <v:shape id="_x000020" o:spid="_x0000_s1046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21" o:spid="_x0000_s1047" o:spt="75" type="#_x0000_t75" style="position:absolute;left:0pt;margin-left:53pt;margin-top:183.6pt;height:155.85pt;width:326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1" o:title=""/>
            <o:lock v:ext="edit" aspectratio="t"/>
          </v:shape>
        </w:pict>
      </w:r>
      <w:r>
        <w:pict>
          <v:shape id="_x000022" o:spid="_x0000_s1048" o:spt="75" type="#_x0000_t75" style="position:absolute;left:0pt;margin-left:351.6pt;margin-top:353.2pt;height:3.5pt;width:3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23" o:spid="_x0000_s1049" o:spt="75" type="#_x0000_t75" style="position:absolute;left:0pt;margin-left:362.1pt;margin-top:353.2pt;height:3.5pt;width:3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24" o:spid="_x0000_s1050" o:spt="75" type="#_x0000_t75" style="position:absolute;left:0pt;margin-left:372.6pt;margin-top:353.2pt;height:3.5pt;width:3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25" o:spid="_x0000_s1051" o:spt="75" type="#_x0000_t75" style="position:absolute;left:0pt;margin-left:383.1pt;margin-top:353.2pt;height:3.5pt;width:3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3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）根据材料一、二、三，分析“资产阶级共和国让位给人民共和国”的原因。</w:t>
      </w:r>
    </w:p>
    <w:p w14:paraId="717F246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）对于上述分析，你还可以搜集哪些方面的资料予以拓展并说明理由。</w:t>
      </w:r>
    </w:p>
    <w:p w14:paraId="0A7AC78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2FC7541C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钱币和纪念币都蕴含丰富的信息，既是历史进程的见证，又是文化传承的载体；既具审美意义，又有</w:t>
      </w:r>
    </w:p>
    <w:p w14:paraId="7486A99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收藏价值。下列图片为不同时期的钱币或纪念币。</w:t>
      </w:r>
    </w:p>
    <w:p w14:paraId="71A6427D">
      <w:pPr>
        <w:spacing w:before="329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参考上述材料，结合所学知识，请你设计一枚钱币或纪念币，用文字描述你的构思并说明理由。</w:t>
      </w:r>
    </w:p>
    <w:p w14:paraId="369217B2">
      <w:pPr>
        <w:spacing w:before="831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40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2C9E6489-C159-41F4-A02D-AC6DF6267B13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551137E7-4731-4A83-997F-25A9ADE44F06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0F8B6219-2694-4641-B549-40EC33289A0B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FF300965-97B7-4487-ADFB-517B4AED3A3C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46C708CE-51AA-48E1-BC14-23A0D91DD91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6298D662-6197-415C-8480-0E6534F62C4F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475AE56A-4B8B-44FC-8B70-623AC4C1212C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469F8BA0-A2BD-44D1-81E7-7B1833378A4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0A994E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19A37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DA9AEA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83368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5C657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CB63B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  <w:rsid w:val="3C3654EA"/>
    <w:rsid w:val="50FF7B58"/>
    <w:rsid w:val="549B78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4294967295" w:semiHidden="0" w:name="heading 1"/>
    <w:lsdException w:unhideWhenUsed="0" w:uiPriority="4294967295" w:semiHidden="0" w:name="heading 2"/>
    <w:lsdException w:unhideWhenUsed="0" w:uiPriority="4294967295" w:semiHidden="0" w:name="heading 3"/>
    <w:lsdException w:unhideWhenUsed="0" w:uiPriority="4294967295" w:semiHidden="0" w:name="heading 4"/>
    <w:lsdException w:unhideWhenUsed="0" w:uiPriority="4294967295" w:semiHidden="0" w:name="heading 5"/>
    <w:lsdException w:unhideWhenUsed="0" w:uiPriority="4294967295" w:semiHidden="0" w:name="heading 6"/>
    <w:lsdException w:unhideWhenUsed="0" w:uiPriority="4294967295" w:semiHidden="0" w:name="heading 7"/>
    <w:lsdException w:unhideWhenUsed="0" w:uiPriority="4294967295" w:semiHidden="0" w:name="heading 8"/>
    <w:lsdException w:unhideWhenUsed="0" w:uiPriority="4294967295" w:semiHidden="0" w:name="heading 9"/>
    <w:lsdException w:unhideWhenUsed="0" w:uiPriority="4294967295" w:semiHidden="0" w:name="index 1"/>
    <w:lsdException w:unhideWhenUsed="0" w:uiPriority="4294967295" w:semiHidden="0" w:name="index 2"/>
    <w:lsdException w:unhideWhenUsed="0" w:uiPriority="4294967295" w:semiHidden="0" w:name="index 3"/>
    <w:lsdException w:unhideWhenUsed="0" w:uiPriority="4294967295" w:semiHidden="0" w:name="index 4"/>
    <w:lsdException w:unhideWhenUsed="0" w:uiPriority="4294967295" w:semiHidden="0" w:name="index 5"/>
    <w:lsdException w:unhideWhenUsed="0" w:uiPriority="4294967295" w:semiHidden="0" w:name="index 6"/>
    <w:lsdException w:unhideWhenUsed="0" w:uiPriority="4294967295" w:semiHidden="0" w:name="index 7"/>
    <w:lsdException w:unhideWhenUsed="0" w:uiPriority="4294967295" w:semiHidden="0" w:name="index 8"/>
    <w:lsdException w:unhideWhenUsed="0" w:uiPriority="4294967295" w:semiHidden="0" w:name="index 9"/>
    <w:lsdException w:unhideWhenUsed="0" w:uiPriority="4294967295" w:semiHidden="0" w:name="toc 1"/>
    <w:lsdException w:unhideWhenUsed="0" w:uiPriority="4294967295" w:semiHidden="0" w:name="toc 2"/>
    <w:lsdException w:unhideWhenUsed="0" w:uiPriority="4294967295" w:semiHidden="0" w:name="toc 3"/>
    <w:lsdException w:unhideWhenUsed="0" w:uiPriority="4294967295" w:semiHidden="0" w:name="toc 4"/>
    <w:lsdException w:unhideWhenUsed="0" w:uiPriority="4294967295" w:semiHidden="0" w:name="toc 5"/>
    <w:lsdException w:unhideWhenUsed="0" w:uiPriority="4294967295" w:semiHidden="0" w:name="toc 6"/>
    <w:lsdException w:unhideWhenUsed="0" w:uiPriority="4294967295" w:semiHidden="0" w:name="toc 7"/>
    <w:lsdException w:unhideWhenUsed="0" w:uiPriority="4294967295" w:semiHidden="0" w:name="toc 8"/>
    <w:lsdException w:unhideWhenUsed="0" w:uiPriority="4294967295" w:semiHidden="0" w:name="toc 9"/>
    <w:lsdException w:unhideWhenUsed="0" w:uiPriority="4294967295" w:semiHidden="0" w:name="Normal Indent"/>
    <w:lsdException w:unhideWhenUsed="0" w:uiPriority="4294967295" w:semiHidden="0" w:name="footnote text"/>
    <w:lsdException w:unhideWhenUsed="0" w:uiPriority="4294967295" w:semiHidden="0" w:name="annotation text"/>
    <w:lsdException w:qFormat="1" w:unhideWhenUsed="0" w:uiPriority="4294967295" w:semiHidden="0" w:name="header"/>
    <w:lsdException w:qFormat="1" w:unhideWhenUsed="0" w:uiPriority="4294967295" w:semiHidden="0" w:name="footer"/>
    <w:lsdException w:unhideWhenUsed="0" w:uiPriority="4294967295" w:semiHidden="0" w:name="index heading"/>
    <w:lsdException w:unhideWhenUsed="0" w:uiPriority="4294967295" w:semiHidden="0" w:name="caption"/>
    <w:lsdException w:unhideWhenUsed="0" w:uiPriority="4294967295" w:semiHidden="0" w:name="table of figures"/>
    <w:lsdException w:unhideWhenUsed="0" w:uiPriority="4294967295" w:semiHidden="0" w:name="envelope address"/>
    <w:lsdException w:unhideWhenUsed="0" w:uiPriority="4294967295" w:semiHidden="0" w:name="envelope return"/>
    <w:lsdException w:unhideWhenUsed="0" w:uiPriority="4294967295" w:semiHidden="0" w:name="footnote reference"/>
    <w:lsdException w:unhideWhenUsed="0" w:uiPriority="4294967295" w:semiHidden="0" w:name="annotation reference"/>
    <w:lsdException w:unhideWhenUsed="0" w:uiPriority="4294967295" w:semiHidden="0" w:name="line number"/>
    <w:lsdException w:unhideWhenUsed="0" w:uiPriority="4294967295" w:semiHidden="0" w:name="page number"/>
    <w:lsdException w:unhideWhenUsed="0" w:uiPriority="4294967295" w:semiHidden="0" w:name="endnote reference"/>
    <w:lsdException w:unhideWhenUsed="0" w:uiPriority="4294967295" w:semiHidden="0" w:name="endnote text"/>
    <w:lsdException w:unhideWhenUsed="0" w:uiPriority="4294967295" w:semiHidden="0" w:name="table of authorities"/>
    <w:lsdException w:unhideWhenUsed="0" w:uiPriority="4294967295" w:semiHidden="0" w:name="macro"/>
    <w:lsdException w:unhideWhenUsed="0" w:uiPriority="4294967295" w:semiHidden="0" w:name="toa heading"/>
    <w:lsdException w:unhideWhenUsed="0" w:uiPriority="4294967295" w:semiHidden="0" w:name="List"/>
    <w:lsdException w:unhideWhenUsed="0" w:uiPriority="4294967295" w:semiHidden="0" w:name="List Bullet"/>
    <w:lsdException w:unhideWhenUsed="0" w:uiPriority="4294967295" w:semiHidden="0" w:name="List Number"/>
    <w:lsdException w:unhideWhenUsed="0" w:uiPriority="4294967295" w:semiHidden="0" w:name="List 2"/>
    <w:lsdException w:unhideWhenUsed="0" w:uiPriority="4294967295" w:semiHidden="0" w:name="List 3"/>
    <w:lsdException w:unhideWhenUsed="0" w:uiPriority="4294967295" w:semiHidden="0" w:name="List 4"/>
    <w:lsdException w:unhideWhenUsed="0" w:uiPriority="4294967295" w:semiHidden="0" w:name="List 5"/>
    <w:lsdException w:unhideWhenUsed="0" w:uiPriority="4294967295" w:semiHidden="0" w:name="List Bullet 2"/>
    <w:lsdException w:unhideWhenUsed="0" w:uiPriority="4294967295" w:semiHidden="0" w:name="List Bullet 3"/>
    <w:lsdException w:unhideWhenUsed="0" w:uiPriority="4294967295" w:semiHidden="0" w:name="List Bullet 4"/>
    <w:lsdException w:unhideWhenUsed="0" w:uiPriority="4294967295" w:semiHidden="0" w:name="List Bullet 5"/>
    <w:lsdException w:unhideWhenUsed="0" w:uiPriority="4294967295" w:semiHidden="0" w:name="List Number 2"/>
    <w:lsdException w:unhideWhenUsed="0" w:uiPriority="4294967295" w:semiHidden="0" w:name="List Number 3"/>
    <w:lsdException w:unhideWhenUsed="0" w:uiPriority="4294967295" w:semiHidden="0" w:name="List Number 4"/>
    <w:lsdException w:unhideWhenUsed="0" w:uiPriority="4294967295" w:semiHidden="0" w:name="List Number 5"/>
    <w:lsdException w:unhideWhenUsed="0" w:uiPriority="4294967295" w:semiHidden="0" w:name="Title"/>
    <w:lsdException w:unhideWhenUsed="0" w:uiPriority="4294967295" w:semiHidden="0" w:name="Closing"/>
    <w:lsdException w:unhideWhenUsed="0" w:uiPriority="4294967295" w:semiHidden="0" w:name="Signature"/>
    <w:lsdException w:qFormat="1" w:unhideWhenUsed="0" w:uiPriority="0" w:name="Default Paragraph Font"/>
    <w:lsdException w:unhideWhenUsed="0" w:uiPriority="4294967295" w:semiHidden="0" w:name="Body Text"/>
    <w:lsdException w:unhideWhenUsed="0" w:uiPriority="4294967295" w:semiHidden="0" w:name="Body Text Indent"/>
    <w:lsdException w:unhideWhenUsed="0" w:uiPriority="4294967295" w:semiHidden="0" w:name="List Continue"/>
    <w:lsdException w:unhideWhenUsed="0" w:uiPriority="4294967295" w:semiHidden="0" w:name="List Continue 2"/>
    <w:lsdException w:unhideWhenUsed="0" w:uiPriority="4294967295" w:semiHidden="0" w:name="List Continue 3"/>
    <w:lsdException w:unhideWhenUsed="0" w:uiPriority="4294967295" w:semiHidden="0" w:name="List Continue 4"/>
    <w:lsdException w:unhideWhenUsed="0" w:uiPriority="4294967295" w:semiHidden="0" w:name="List Continue 5"/>
    <w:lsdException w:unhideWhenUsed="0" w:uiPriority="4294967295" w:semiHidden="0" w:name="Message Header"/>
    <w:lsdException w:unhideWhenUsed="0" w:uiPriority="4294967295" w:semiHidden="0" w:name="Subtitle"/>
    <w:lsdException w:unhideWhenUsed="0" w:uiPriority="4294967295" w:semiHidden="0" w:name="Salutation"/>
    <w:lsdException w:unhideWhenUsed="0" w:uiPriority="4294967295" w:semiHidden="0" w:name="Date"/>
    <w:lsdException w:unhideWhenUsed="0" w:uiPriority="4294967295" w:semiHidden="0" w:name="Body Text First Indent"/>
    <w:lsdException w:unhideWhenUsed="0" w:uiPriority="4294967295" w:semiHidden="0" w:name="Body Text First Indent 2"/>
    <w:lsdException w:unhideWhenUsed="0" w:uiPriority="4294967295" w:semiHidden="0" w:name="Note Heading"/>
    <w:lsdException w:unhideWhenUsed="0" w:uiPriority="4294967295" w:semiHidden="0" w:name="Body Text 2"/>
    <w:lsdException w:unhideWhenUsed="0" w:uiPriority="4294967295" w:semiHidden="0" w:name="Body Text 3"/>
    <w:lsdException w:unhideWhenUsed="0" w:uiPriority="4294967295" w:semiHidden="0" w:name="Body Text Indent 2"/>
    <w:lsdException w:unhideWhenUsed="0" w:uiPriority="4294967295" w:semiHidden="0" w:name="Body Text Indent 3"/>
    <w:lsdException w:unhideWhenUsed="0" w:uiPriority="4294967295" w:semiHidden="0" w:name="Block Text"/>
    <w:lsdException w:unhideWhenUsed="0" w:uiPriority="4294967295" w:semiHidden="0" w:name="Hyperlink"/>
    <w:lsdException w:unhideWhenUsed="0" w:uiPriority="4294967295" w:semiHidden="0" w:name="FollowedHyperlink"/>
    <w:lsdException w:unhideWhenUsed="0" w:uiPriority="4294967295" w:semiHidden="0" w:name="Strong"/>
    <w:lsdException w:unhideWhenUsed="0" w:uiPriority="4294967295" w:semiHidden="0" w:name="Emphasis"/>
    <w:lsdException w:unhideWhenUsed="0" w:uiPriority="4294967295" w:semiHidden="0" w:name="Document Map"/>
    <w:lsdException w:unhideWhenUsed="0" w:uiPriority="4294967295" w:semiHidden="0" w:name="Plain Text"/>
    <w:lsdException w:unhideWhenUsed="0" w:uiPriority="4294967295" w:semiHidden="0" w:name="E-mail Signature"/>
    <w:lsdException w:unhideWhenUsed="0" w:uiPriority="4294967295" w:semiHidden="0" w:name="Normal (Web)"/>
    <w:lsdException w:unhideWhenUsed="0" w:uiPriority="4294967295" w:semiHidden="0" w:name="HTML Acronym"/>
    <w:lsdException w:unhideWhenUsed="0" w:uiPriority="4294967295" w:semiHidden="0" w:name="HTML Address"/>
    <w:lsdException w:unhideWhenUsed="0" w:uiPriority="4294967295" w:semiHidden="0" w:name="HTML Cite"/>
    <w:lsdException w:unhideWhenUsed="0" w:uiPriority="4294967295" w:semiHidden="0" w:name="HTML Code"/>
    <w:lsdException w:unhideWhenUsed="0" w:uiPriority="4294967295" w:semiHidden="0" w:name="HTML Definition"/>
    <w:lsdException w:unhideWhenUsed="0" w:uiPriority="4294967295" w:semiHidden="0" w:name="HTML Keyboard"/>
    <w:lsdException w:unhideWhenUsed="0" w:uiPriority="4294967295" w:semiHidden="0" w:name="HTML Preformatted"/>
    <w:lsdException w:unhideWhenUsed="0" w:uiPriority="4294967295" w:semiHidden="0" w:name="HTML Sample"/>
    <w:lsdException w:unhideWhenUsed="0" w:uiPriority="4294967295" w:semiHidden="0" w:name="HTML Typewriter"/>
    <w:lsdException w:unhideWhenUsed="0" w:uiPriority="4294967295" w:semiHidden="0" w:name="HTML Variable"/>
    <w:lsdException w:unhideWhenUsed="0" w:uiPriority="4294967295" w:semiHidden="0" w:name="Normal Table"/>
    <w:lsdException w:unhideWhenUsed="0" w:uiPriority="4294967295" w:semiHidden="0" w:name="annotation subject"/>
    <w:lsdException w:qFormat="1" w:unhideWhenUsed="0" w:uiPriority="0" w:name="No List"/>
    <w:lsdException w:unhideWhenUsed="0" w:uiPriority="4294967295" w:semiHidden="0" w:name="Table Simple 1"/>
    <w:lsdException w:unhideWhenUsed="0" w:uiPriority="4294967295" w:semiHidden="0" w:name="Table Simple 2"/>
    <w:lsdException w:unhideWhenUsed="0" w:uiPriority="4294967295" w:semiHidden="0" w:name="Table Simple 3"/>
    <w:lsdException w:unhideWhenUsed="0" w:uiPriority="4294967295" w:semiHidden="0" w:name="Table Classic 1"/>
    <w:lsdException w:unhideWhenUsed="0" w:uiPriority="4294967295" w:semiHidden="0" w:name="Table Classic 2"/>
    <w:lsdException w:unhideWhenUsed="0" w:uiPriority="4294967295" w:semiHidden="0" w:name="Table Classic 3"/>
    <w:lsdException w:unhideWhenUsed="0" w:uiPriority="4294967295" w:semiHidden="0" w:name="Table Classic 4"/>
    <w:lsdException w:unhideWhenUsed="0" w:uiPriority="4294967295" w:semiHidden="0" w:name="Table Colorful 1"/>
    <w:lsdException w:unhideWhenUsed="0" w:uiPriority="4294967295" w:semiHidden="0" w:name="Table Colorful 2"/>
    <w:lsdException w:unhideWhenUsed="0" w:uiPriority="4294967295" w:semiHidden="0" w:name="Table Colorful 3"/>
    <w:lsdException w:unhideWhenUsed="0" w:uiPriority="4294967295" w:semiHidden="0" w:name="Table Columns 1"/>
    <w:lsdException w:unhideWhenUsed="0" w:uiPriority="4294967295" w:semiHidden="0" w:name="Table Columns 2"/>
    <w:lsdException w:unhideWhenUsed="0" w:uiPriority="4294967295" w:semiHidden="0" w:name="Table Columns 3"/>
    <w:lsdException w:unhideWhenUsed="0" w:uiPriority="4294967295" w:semiHidden="0" w:name="Table Columns 4"/>
    <w:lsdException w:unhideWhenUsed="0" w:uiPriority="4294967295" w:semiHidden="0" w:name="Table Columns 5"/>
    <w:lsdException w:unhideWhenUsed="0" w:uiPriority="4294967295" w:semiHidden="0" w:name="Table Grid 1"/>
    <w:lsdException w:unhideWhenUsed="0" w:uiPriority="4294967295" w:semiHidden="0" w:name="Table Grid 2"/>
    <w:lsdException w:unhideWhenUsed="0" w:uiPriority="4294967295" w:semiHidden="0" w:name="Table Grid 3"/>
    <w:lsdException w:unhideWhenUsed="0" w:uiPriority="4294967295" w:semiHidden="0" w:name="Table Grid 4"/>
    <w:lsdException w:unhideWhenUsed="0" w:uiPriority="4294967295" w:semiHidden="0" w:name="Table Grid 5"/>
    <w:lsdException w:unhideWhenUsed="0" w:uiPriority="4294967295" w:semiHidden="0" w:name="Table Grid 6"/>
    <w:lsdException w:unhideWhenUsed="0" w:uiPriority="4294967295" w:semiHidden="0" w:name="Table Grid 7"/>
    <w:lsdException w:unhideWhenUsed="0" w:uiPriority="4294967295" w:semiHidden="0" w:name="Table Grid 8"/>
    <w:lsdException w:unhideWhenUsed="0" w:uiPriority="4294967295" w:semiHidden="0" w:name="Table List 1"/>
    <w:lsdException w:unhideWhenUsed="0" w:uiPriority="4294967295" w:semiHidden="0" w:name="Table List 2"/>
    <w:lsdException w:unhideWhenUsed="0" w:uiPriority="4294967295" w:semiHidden="0" w:name="Table List 3"/>
    <w:lsdException w:unhideWhenUsed="0" w:uiPriority="4294967295" w:semiHidden="0" w:name="Table List 4"/>
    <w:lsdException w:unhideWhenUsed="0" w:uiPriority="4294967295" w:semiHidden="0" w:name="Table List 5"/>
    <w:lsdException w:unhideWhenUsed="0" w:uiPriority="4294967295" w:semiHidden="0" w:name="Table List 6"/>
    <w:lsdException w:unhideWhenUsed="0" w:uiPriority="4294967295" w:semiHidden="0" w:name="Table List 7"/>
    <w:lsdException w:unhideWhenUsed="0" w:uiPriority="4294967295" w:semiHidden="0" w:name="Table List 8"/>
    <w:lsdException w:unhideWhenUsed="0" w:uiPriority="4294967295" w:semiHidden="0" w:name="Table 3D effects 1"/>
    <w:lsdException w:unhideWhenUsed="0" w:uiPriority="4294967295" w:semiHidden="0" w:name="Table 3D effects 2"/>
    <w:lsdException w:unhideWhenUsed="0" w:uiPriority="4294967295" w:semiHidden="0" w:name="Table 3D effects 3"/>
    <w:lsdException w:unhideWhenUsed="0" w:uiPriority="4294967295" w:semiHidden="0" w:name="Table Contemporary"/>
    <w:lsdException w:unhideWhenUsed="0" w:uiPriority="4294967295" w:semiHidden="0" w:name="Table Elegant"/>
    <w:lsdException w:unhideWhenUsed="0" w:uiPriority="4294967295" w:semiHidden="0" w:name="Table Professional"/>
    <w:lsdException w:unhideWhenUsed="0" w:uiPriority="4294967295" w:semiHidden="0" w:name="Table Subtle 1"/>
    <w:lsdException w:unhideWhenUsed="0" w:uiPriority="4294967295" w:semiHidden="0" w:name="Table Subtle 2"/>
    <w:lsdException w:unhideWhenUsed="0" w:uiPriority="4294967295" w:semiHidden="0" w:name="Table Web 1"/>
    <w:lsdException w:unhideWhenUsed="0" w:uiPriority="4294967295" w:semiHidden="0" w:name="Table Web 2"/>
    <w:lsdException w:unhideWhenUsed="0" w:uiPriority="4294967295" w:semiHidden="0" w:name="Table Web 3"/>
    <w:lsdException w:unhideWhenUsed="0" w:uiPriority="4294967295" w:semiHidden="0" w:name="Balloon Text"/>
    <w:lsdException w:unhideWhenUsed="0" w:uiPriority="4294967295" w:semiHidden="0" w:name="Table Grid"/>
    <w:lsdException w:unhideWhenUsed="0" w:uiPriority="4294967295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uiPriority w:val="4294967295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1"/>
      <w:szCs w:val="22"/>
    </w:rPr>
  </w:style>
  <w:style w:type="paragraph" w:styleId="2">
    <w:name w:val="footer"/>
    <w:basedOn w:val="1"/>
    <w:qFormat/>
    <w:uiPriority w:val="4294967295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4294967295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10</Pages>
  <Words>3370</Words>
  <Characters>3548</Characters>
  <Lines>0</Lines>
  <Paragraphs>124</Paragraphs>
  <TotalTime>3</TotalTime>
  <ScaleCrop>false</ScaleCrop>
  <LinksUpToDate>false</LinksUpToDate>
  <CharactersWithSpaces>3771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2025-10-07T21:04:00Z</dcterms:created>
  <dc:creator>Administrator</dc:creator>
  <cp:lastModifiedBy>上帝掷骰子吗</cp:lastModifiedBy>
  <dcterms:modified xsi:type="dcterms:W3CDTF">2026-02-10T06:55:21Z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62766343401549E0B337DA87AC42C604_12</vt:lpwstr>
  </property>
</Properties>
</file>