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7BDC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11188700</wp:posOffset>
            </wp:positionV>
            <wp:extent cx="342900" cy="381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陕西省2025年普通高中学业水平选择性考试历史</w:t>
      </w:r>
    </w:p>
    <w:p w14:paraId="428FA6A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4531DB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1.答卷前，考生务必用黑色碳素笔将自己的姓名、准考证号、考场号、座位号填写在答题卡上，并认真核准条形码上的姓名、准考证号、考场号、座位号及科目，在规定的位置贴好条形码。</w:t>
      </w:r>
    </w:p>
    <w:p w14:paraId="0CEAB7C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2.回答问题时，选出每小题答案后，用2B铅笔把答题卡上对应题目的答案标号涂黑。如需改动，用橡皮擦干净后，再选涂其他答案标号。回答非选择题时，用黑色碳素笔将答案写在答题卡上。写在本试卷上无效。</w:t>
      </w:r>
    </w:p>
    <w:p w14:paraId="7C676BE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3.考试结束后，将本试卷和答题卡一并交回。</w:t>
      </w:r>
    </w:p>
    <w:p w14:paraId="0104A57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一、选择题：本题共16小题，每小题3分，共48分。在每小题给出的四个选项中，只有一项是符合题目要求的。</w:t>
      </w:r>
    </w:p>
    <w:p w14:paraId="584C064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考古学者认为，山西省芮城县清凉寺墓地第三期遗存具有龙山文化特征。其中，部分大型墓存在殉人现象，有玉器和彩绘陶器等随葬品，而仅可容身的小型墓无随葬品。据此推知，当时（   ）</w:t>
      </w:r>
    </w:p>
    <w:p w14:paraId="22EF7D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礼乐制度初步形成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祭祀仪式规范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奴隶制国家已出现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阶层分化明显</w:t>
      </w:r>
    </w:p>
    <w:p w14:paraId="4B8CE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北魏孝文帝任命元桢担任长安镇都大将、雍州刺史。出任前，孝文帝称赞元桢“孝行著于私庭，令间彰于邦国”，并告诫他到任后要绥抚饥民，切勿“恃亲骄矜，违礼僭度”。这反映出孝文帝（   ）</w:t>
      </w:r>
    </w:p>
    <w:p w14:paraId="11D912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崇尚儒家礼教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倚重士族支持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重视军政建设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维护宗室特权</w:t>
      </w:r>
    </w:p>
    <w:p w14:paraId="685A0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唐弘道元年（683），侍中裴炎改任书中书令，将原设在门下省的政事堂迁至中书省。神龙元年（705），豆卢钦望担任尚书右仆射，因未获得“同中书门下三品”的称号而无法参加宰相议事会议，这说明唐代（   ）</w:t>
      </w:r>
    </w:p>
    <w:p w14:paraId="3BDC61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宰相的行政权力进一步加强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政事堂成为三省权力核心</w:t>
      </w:r>
    </w:p>
    <w:p w14:paraId="0DCAA4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中枢机构呈现出一体化趋势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三省长官可共同商议国政</w:t>
      </w:r>
    </w:p>
    <w:p w14:paraId="0ED26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元代北方的散曲是宋词与北方各民族乐曲的综合产物，其在句式上可根据需要增添衬字；内容上运用大量方言、俚语，语言表现更加自由。这（   ）</w:t>
      </w:r>
    </w:p>
    <w:p w14:paraId="5A8ABC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反映了城市经济的繁荣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体现了多元文化的融汇</w:t>
      </w:r>
    </w:p>
    <w:p w14:paraId="7122EF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得益于市民阶层的兴起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受到了儒学复兴的影响</w:t>
      </w:r>
    </w:p>
    <w:p w14:paraId="1EB7C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下表为清代雍正至乾隆时期云南等三省及全国（各省）人丁数统计表（单位：口），表中三省人丁数变化的主要原因是（   ）</w:t>
      </w:r>
    </w:p>
    <w:tbl>
      <w:tblPr>
        <w:tblStyle w:val="4"/>
        <w:tblW w:w="7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67"/>
        <w:gridCol w:w="975"/>
        <w:gridCol w:w="975"/>
        <w:gridCol w:w="975"/>
        <w:gridCol w:w="1863"/>
      </w:tblGrid>
      <w:tr w14:paraId="01A2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788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685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云南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7EAB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广西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BDD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贵州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2DEA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全国（各省）</w:t>
            </w:r>
          </w:p>
        </w:tc>
      </w:tr>
      <w:tr w14:paraId="4BDB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6AA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雍正二年（1724）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C68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145240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4D1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202711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4B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21388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147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25284818</w:t>
            </w:r>
          </w:p>
        </w:tc>
      </w:tr>
      <w:tr w14:paraId="6FBE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23A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乾隆十四年（1749）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D523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1946173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79F2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3687725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96B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3075111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3F5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177495039</w:t>
            </w:r>
          </w:p>
        </w:tc>
      </w:tr>
      <w:tr w14:paraId="6A59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C49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乾隆三十二年（1767）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7C6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2148597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F2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4706176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DEB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3441656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255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209839546</w:t>
            </w:r>
          </w:p>
        </w:tc>
      </w:tr>
    </w:tbl>
    <w:p w14:paraId="5115DF42">
      <w:pPr>
        <w:spacing w:line="360" w:lineRule="auto"/>
        <w:jc w:val="left"/>
        <w:textAlignment w:val="center"/>
        <w:rPr>
          <w:color w:val="000000"/>
        </w:rPr>
      </w:pPr>
    </w:p>
    <w:p w14:paraId="33E9B2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自然环境的改造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摊丁入亩的实施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改土归流的推行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高产作物的推广</w:t>
      </w:r>
    </w:p>
    <w:p w14:paraId="1E92D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1905年前后，外务部陆续收到绅商、华侨、学生等群体发来的电报，内容涉及外国强占领土、革新政治等，清政府对部分电报限收后，《新闻报》《申报》等报纸设立“公电”栏目对电报内容予以刊载。据此可知，近代传媒（   ）</w:t>
      </w:r>
    </w:p>
    <w:p w14:paraId="03DA2A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助力民众表达救亡诉求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促使改良派转向革命</w:t>
      </w:r>
    </w:p>
    <w:p w14:paraId="6D3ABA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推动清政府的政治改革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加速外交政策的转变</w:t>
      </w:r>
    </w:p>
    <w:p w14:paraId="07F31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1923年9月，瞿秋白在《自民权主义至社会主义》中指出，“要劳工阶级真正彻底觉悟资产阶级假民权主义的不可信，决不是几本书可以办到”，而必须积累“实际普遍的政治经验”。这表明早期中国共产党人认识到应该（   ）</w:t>
      </w:r>
    </w:p>
    <w:p w14:paraId="4E0091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制定民主革命纲领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引导群众理论联系实际</w:t>
      </w:r>
    </w:p>
    <w:p w14:paraId="4E6CC4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推翻资产阶级专政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发动工人投身革命斗争</w:t>
      </w:r>
    </w:p>
    <w:p w14:paraId="36F6A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1948年11月，中共冀中区党委指出，由于此前区党委“没有认识到城市工作的重要”，今后城市工作总的方针“就是贯彻政策，发展经济，加强城市建设与管理工作，认真的解决贫苦市民生活（问题）……从多方面建设我们的城市”。这一方针旨在（   ）</w:t>
      </w:r>
    </w:p>
    <w:p w14:paraId="5E4DA8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激发人民支援前线的热情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适应解放区建设的新形势</w:t>
      </w:r>
    </w:p>
    <w:p w14:paraId="3D4EE3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提高干部管理城市的水平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推动城乡经济结构的转变</w:t>
      </w:r>
    </w:p>
    <w:p w14:paraId="04B4E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1953年，农业部决定在全国范围内试办国营农业机器拖拉机站，帮助组织起来的农民耕种、收割，机耕土地的粮棉产量普遍高于传统耕种土地粮棉产量的30%以上。这对很多尚未入社的农民触动很大，他们纷纷要求加入合作社，这有利于（   ）</w:t>
      </w:r>
    </w:p>
    <w:p w14:paraId="181776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农村经济全面恢复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土地改革顺利进行</w:t>
      </w:r>
    </w:p>
    <w:p w14:paraId="7EFE61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农村生产关系变革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农业机械化的实现</w:t>
      </w:r>
    </w:p>
    <w:p w14:paraId="23EEA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下表中国工业产值统计表（单位：亿元），表中的数据变化说明，这一时期我国（   ）</w:t>
      </w:r>
    </w:p>
    <w:tbl>
      <w:tblPr>
        <w:tblStyle w:val="4"/>
        <w:tblW w:w="7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1680"/>
        <w:gridCol w:w="1845"/>
        <w:gridCol w:w="1305"/>
      </w:tblGrid>
      <w:tr w14:paraId="54B1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A23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39C6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1977年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5CC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1988年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BD9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1991年</w:t>
            </w:r>
          </w:p>
        </w:tc>
      </w:tr>
      <w:tr w14:paraId="55106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13A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工业总产值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BA55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3725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B12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18224.58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CBC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26625</w:t>
            </w:r>
          </w:p>
        </w:tc>
      </w:tr>
      <w:tr w14:paraId="09D6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6477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国有工业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E4D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2869.37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0D27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10351.28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B53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14955</w:t>
            </w:r>
          </w:p>
        </w:tc>
      </w:tr>
      <w:tr w14:paraId="2929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613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集体工业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AB7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855.63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D13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6587.49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D5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8783</w:t>
            </w:r>
          </w:p>
        </w:tc>
      </w:tr>
      <w:tr w14:paraId="418D2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53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城乡个体工业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746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FDA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790</w:t>
            </w:r>
            <w:r>
              <w:rPr>
                <w:rFonts w:ascii="宋体" w:hAnsi="宋体" w:eastAsia="宋体" w:cs="宋体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49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950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1287</w:t>
            </w:r>
          </w:p>
        </w:tc>
      </w:tr>
      <w:tr w14:paraId="1AB8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00A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其他经济类型工业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9E3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95DF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495.82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127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1600</w:t>
            </w:r>
          </w:p>
        </w:tc>
      </w:tr>
    </w:tbl>
    <w:p w14:paraId="2DC0B9B6">
      <w:pPr>
        <w:spacing w:line="360" w:lineRule="auto"/>
        <w:jc w:val="left"/>
        <w:textAlignment w:val="center"/>
        <w:rPr>
          <w:color w:val="000000"/>
        </w:rPr>
      </w:pPr>
    </w:p>
    <w:p w14:paraId="046E8A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工业布局调整效果显著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市场经济起主导作用</w:t>
      </w:r>
    </w:p>
    <w:p w14:paraId="6931FB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现代企业制度不断完善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所有制结构逐步优化</w:t>
      </w:r>
    </w:p>
    <w:p w14:paraId="7C0FE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波斯帝国早期，被征服地区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许多官吏、制度得到保留，外族的文字、宗教广泛传播。大流士登上王位后发起改革，推广波斯人主导的行省、军区制度，用波斯文字刻写国家的重要铭文，立波斯人信奉的祆教为国教。大流士上述举措的顺利实施（   ）</w:t>
      </w:r>
    </w:p>
    <w:p w14:paraId="148DBB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扩大了波斯文明的影响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缓和了外族与波斯人的矛盾</w:t>
      </w:r>
    </w:p>
    <w:p w14:paraId="2B0886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完善了帝国的官僚体系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革除了西亚君主制度的积弊</w:t>
      </w:r>
    </w:p>
    <w:p w14:paraId="6DAF3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13世纪中叶，法国的一些贵族和富裕市民热衷于穿着精美的服装。1279年，国王腓力三世专门颁布法令，规定了男性每年购买长袍的数量：大领主可购5件，贵族和宫廷侍从可购2至4件，财产超过1000利弗尔的市民可购1件。由此可见，在当时的法国（   ）</w:t>
      </w:r>
    </w:p>
    <w:p w14:paraId="7B8F5D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市民地位上升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手工工场兴起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社会等级分明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贵族特权加强</w:t>
      </w:r>
    </w:p>
    <w:p w14:paraId="5DDDE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16世纪，意大利人巴尔巴罗为校订、翻译古罗马建筑论著，曾向一位泥瓦匠出身的建筑师寻求帮助；德意志人阿格里科拉在撰写关于采矿的著作时，吸收了矿工传授的知识。这些学者（   ）</w:t>
      </w:r>
    </w:p>
    <w:p w14:paraId="47930C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注重提升人的社会地位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复兴了希腊罗马古典文化</w:t>
      </w:r>
    </w:p>
    <w:p w14:paraId="6F9C4B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重视发挥人的聪明才智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推动了人文主义教育兴盛</w:t>
      </w:r>
    </w:p>
    <w:p w14:paraId="024F9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1812年，英国格拉斯哥商会对从事美洲贸易的商人表示感谢，因为他们不仅扩展了烟草、棉花等贸易，而且“不惜花费大量时间支持创办我们这个城市的制造业”。这些制造业“现在为整个王国带来很大好处”。这表明（   ）</w:t>
      </w:r>
    </w:p>
    <w:p w14:paraId="63CFB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新型特许公司促进了美洲贸易</w:t>
      </w:r>
    </w:p>
    <w:p w14:paraId="7F194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英国制造业与大西洋贸易联系密切</w:t>
      </w:r>
    </w:p>
    <w:p w14:paraId="5CA94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英国依托制造业成为“世界工厂”</w:t>
      </w:r>
    </w:p>
    <w:p w14:paraId="5D454B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资本输出成为英国扩张的主要形式</w:t>
      </w:r>
    </w:p>
    <w:p w14:paraId="452AB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如图是1942年的一幅苏联宣传画，描绘的情景是：乌拉尔生产的钢铁被制造成炸弹，摧毁了前线的德军坦克。该宣传画反映出（   ）</w:t>
      </w:r>
    </w:p>
    <w:p w14:paraId="7BCDF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885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Uy6fGrd1wJT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Uy6fGrd1wJTp2W+Da2wOPw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62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敌后民众以钢铁般意志抵抗侵略</w:t>
      </w:r>
    </w:p>
    <w:p w14:paraId="6C961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苏联为反法西斯战争付出了巨大牺牲</w:t>
      </w:r>
    </w:p>
    <w:p w14:paraId="1E14B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苏军进攻扭转了苏德战场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形势</w:t>
      </w:r>
    </w:p>
    <w:p w14:paraId="2E3A7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工业化为争取卫国战争胜利创造条件</w:t>
      </w:r>
    </w:p>
    <w:p w14:paraId="54503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1971年8月15日，美国宣布中止美元与黄金的兑换关系。针对这一状况，法国总统蓬皮杜和西德总理勃兰特在12月初举行会晤，同意在国际货币体系改革进程中，缩小欧共体成员国间的汇率波动幅度。法德首脑达成的共识（   ）</w:t>
      </w:r>
    </w:p>
    <w:p w14:paraId="3F9C40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缓解了当时严重的经济危机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有利于欧洲推进经济一体化</w:t>
      </w:r>
    </w:p>
    <w:p w14:paraId="50F26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反映出摆脱美国控制的意愿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加速了布雷顿森林体系崩溃</w:t>
      </w:r>
    </w:p>
    <w:p w14:paraId="2B5EA7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二、非选择题：本题共4小题，共52分。</w:t>
      </w:r>
    </w:p>
    <w:p w14:paraId="44F62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E89DBA6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在秦汉人的意识中，珍珠是重要的海洋资源。秦朝曾设置名为“采珠”的职官，对珍珠开采进行管理。汉初，社会上层对珍珠颇为偏爱，形成“众贵之”的社会倾向。但是，汉景帝基于现实考量，下诏禁止官吏征发民众开采“黄金珠玉”。汉武帝平定南越后，设置合浦、珠崖等郡。合浦郡因农田少，“不产谷实，而海出珠宝”，所以百姓常以珠贸粮，甚至有人“采珠致产数百万”。东汉时期，合浦郡太守孟尝要求百姓适度开采珍珠，确保能够长期利用珍珠资源，以维持生业，从而保持“商货流通”。</w:t>
      </w:r>
    </w:p>
    <w:p w14:paraId="48212F4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——摘编自王子今《秦汉海洋文化研究》等</w:t>
      </w:r>
    </w:p>
    <w:p w14:paraId="2B706070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根据珍珠生长规律，明朝设置了间隔开采的制度。明前期，官方开采珍珠基本控制在十年一采，甚至三十年一采，收获量非常大；后期多次突破旧制，频繁开采，以至明末合浦几乎无珍珠可采。明朝沿用宋元以来的职业开采及分户管理制度，部分疍户成为南海珍珠专采制度下的职业户。由于潜水采捕具有危险性，为了保障安全、提高效率，疍户不断更新采捕技术。改良过的潜水捕捞法，增加了防护设备，延长了水中开采珍珠的时间。</w:t>
      </w:r>
    </w:p>
    <w:p w14:paraId="515E9D1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——摘编自侯甬坚等编著《中国环境通史》</w:t>
      </w:r>
    </w:p>
    <w:p w14:paraId="68330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根据材料一并结合所学知识，从珍珠开采业的发展，分析秦汉时期的国家治理。</w:t>
      </w:r>
    </w:p>
    <w:p w14:paraId="6EAA0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根据材料并结合所学知识，总结中国古代珍珠开采的历史经验和教训。</w:t>
      </w:r>
    </w:p>
    <w:p w14:paraId="45240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103DC6E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抗日战争时期，日军占领山西大部后，陕甘宁边区军民与日军隔黄河对峙。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楷体" w:hAnsi="楷体" w:eastAsia="楷体" w:cs="楷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1940</w:t>
      </w:r>
      <w:r>
        <w:rPr>
          <w:rFonts w:ascii="楷体" w:hAnsi="楷体" w:eastAsia="楷体" w:cs="楷体"/>
          <w:color w:val="000000"/>
        </w:rPr>
        <w:t>年，日军向边区河防阵地发起过数十次进攻，企图强渡黄河、摧毁边区。八路军留守兵团以及三五九旅在边区人民群众支持下，修筑了上千里的坚固河防工事。八路军经过七十余次大小战斗，侧后出击、“半渡而击”，粉碎了日军的进攻，取得了河防保卫战的胜利。</w:t>
      </w:r>
    </w:p>
    <w:p w14:paraId="588444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——摘编自西北五省区编纂领导小组编《陕甘宁边区抗日民主根据地·回忆录卷》</w:t>
      </w:r>
    </w:p>
    <w:p w14:paraId="57ABF6DA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材料二  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，陕甘宁边区政府成立。边区西接甘肃、宁夏，北接绥远，东邻山西，成为保卫西北的锁钥、控制华北与西北的战略支点，也是坚持全民族抗战的重要后方。晋、陕间的黄河河段是边区通向各抗日根据地的唯一通道。边区的食盐、皮毛、石碱、毛织品等通过此河段运至山西碛口等地，再销往其他地区。边区需要的棉花、纸张、五金、颜料等，大部分也由此输入。</w:t>
      </w:r>
    </w:p>
    <w:p w14:paraId="1147CBC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——摘编自陕西省档案馆等编《陕甘宁边区政府文件选编》等</w:t>
      </w:r>
    </w:p>
    <w:p w14:paraId="73834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根据材料一，概括陕甘宁边区取得河防保卫战胜利的原因。</w:t>
      </w:r>
    </w:p>
    <w:p w14:paraId="38125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根据材料并结合所学知识，说明陕甘宁边区河防保卫战胜利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意义。</w:t>
      </w:r>
    </w:p>
    <w:p w14:paraId="3FE23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6A283FB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近代以来，西方对非洲的认知经历了一个演变过程，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世纪，欧洲殖民者侵入非洲海岸地区，他们在游记中对非洲的描述存在着种族主义偏见。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年代，西方国家有组织地开展了大规模的非洲内陆考察活动，搜集了丰富的地理和人文资料，为殖民者提供了商品市场和自然资源的情报。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世纪中期，西方逐渐从非洲大陆退出，为谋求仍能对非洲国家保持影响，他们的非洲研究扩展到政治、经济、法律、历史、教育等领域，并呈现出综合化趋势。</w:t>
      </w:r>
    </w:p>
    <w:p w14:paraId="0717486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——摘编自（布基纳法索）J.基-泽博主编《非洲通史》等</w:t>
      </w:r>
    </w:p>
    <w:p w14:paraId="41C5923F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中国人认识非洲甚早，唐代《经行记》和宋代《诸蕃志》都有关于非洲的记载。新中国成立以来，中非交往与合作的持续展开促使中国人进一步认识、研究非洲。万隆会议后，中国积极支持和援助非洲，成立了相关研究机构。改革开放后，中国经济的发展及中非经济联系的加强，使学者们有了更多实地调研、国际交流的机会。中国的非洲研究范围不断扩大，也满足了政府、企业和民众详细了解非洲的需求。近些年来，学者们客观看待非洲对世界文明的贡献，强调非洲人的历史主体性，同时“互利共赢”“和谐世界”等中国话语概念也逐渐被非洲学者所采用。</w:t>
      </w:r>
    </w:p>
    <w:p w14:paraId="6DD7C5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——摘编自刘鸿武《“非洲学”的演进形态及其中国路径》等</w:t>
      </w:r>
    </w:p>
    <w:p w14:paraId="38B1D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根据材料一并结合所学知识，概括西方关于非洲认知的特点。</w:t>
      </w:r>
    </w:p>
    <w:p w14:paraId="786F5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根据材料并结合所学知识，阐述中国的非洲研究的历史使命。</w:t>
      </w:r>
    </w:p>
    <w:p w14:paraId="79D73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62E090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《周易》云：“天地交而方物通也，上下交而其志同也。”交通，有“交和会通”之意。历史的进步因交通而实现，人类的文明因交往交流交融而发展。如图反映了某学者以“交通”为主题认识历史的思维过程。</w:t>
      </w:r>
    </w:p>
    <w:p w14:paraId="15975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2009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Uy6fGrd1wJT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Uy6fGrd1wJTp2W+Da2wOPw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AEF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选取“交通”之外的任一主题，参照如图认识历史的思维过程，结合所学历史知识，拟定一个论题并加以阐释（要求：明确写出所选主题，史观正确，论题明确，史论结合，逻辑严谨，表述清晰。）</w:t>
      </w:r>
    </w:p>
    <w:p w14:paraId="64727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2129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7068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68E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274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5F8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5BD7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371F5C"/>
    <w:rsid w:val="38274566"/>
    <w:rsid w:val="3A09285C"/>
    <w:rsid w:val="4254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4251</Words>
  <Characters>4558</Characters>
  <Lines>0</Lines>
  <Paragraphs>0</Paragraphs>
  <TotalTime>5</TotalTime>
  <ScaleCrop>false</ScaleCrop>
  <LinksUpToDate>false</LinksUpToDate>
  <CharactersWithSpaces>4736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2025-06-17T17:00:00Z</dcterms:created>
  <dc:creator>学科网试题生产平台</dc:creator>
  <dc:description>3778151871201280</dc:description>
  <cp:lastModifiedBy>上帝掷骰子吗</cp:lastModifiedBy>
  <dcterms:modified xsi:type="dcterms:W3CDTF">2026-02-10T06:55:26Z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BB56DA5F3DDE481791E01B97545E0C71_12</vt:lpwstr>
  </property>
</Properties>
</file>