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83EC3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116.8pt;margin-top:769.7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47pt;margin-top:448.5pt;height:176.1pt;width:398.1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1"/>
          <w:sz w:val="21"/>
        </w:rPr>
        <w:t>机密★启用前</w:t>
      </w:r>
    </w:p>
    <w:p w14:paraId="5BD0B343">
      <w:pPr>
        <w:spacing w:before="215" w:after="0" w:line="359" w:lineRule="exact"/>
        <w:ind w:left="175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云南省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年普通高中学业水平选择性考试</w:t>
      </w:r>
    </w:p>
    <w:p w14:paraId="59EDA8EE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历史</w:t>
      </w:r>
    </w:p>
    <w:p w14:paraId="74618E00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684C1C0A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4"/>
          <w:sz w:val="24"/>
        </w:rPr>
        <w:t>．答卷前，考生务必用黑色碳素笔将自己的姓名、准考证号、考场号、座位号填</w:t>
      </w:r>
      <w:r>
        <w:rPr>
          <w:rFonts w:ascii="Times New Roman"/>
          <w:color w:val="000000"/>
          <w:spacing w:val="62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写在答题</w:t>
      </w:r>
    </w:p>
    <w:p w14:paraId="4A6DF4E1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卡上，并认真核准条形码上的姓名、准考证号、考场号、座位号及科目，在规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定的位置贴好</w:t>
      </w:r>
    </w:p>
    <w:p w14:paraId="79985316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条形码。</w:t>
      </w:r>
    </w:p>
    <w:p w14:paraId="0B553E75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-3"/>
          <w:sz w:val="24"/>
        </w:rPr>
        <w:t>．回答选择题时，选出每小题答案后，用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铅笔把答题卡上对应题目的答案标号</w:t>
      </w:r>
      <w:r>
        <w:rPr>
          <w:rFonts w:ascii="Times New Roman"/>
          <w:color w:val="000000"/>
          <w:spacing w:val="61"/>
          <w:sz w:val="24"/>
        </w:rPr>
        <w:t xml:space="preserve"> </w:t>
      </w:r>
      <w:r>
        <w:rPr>
          <w:rFonts w:ascii="宋体" w:hAnsi="宋体" w:cs="宋体"/>
          <w:color w:val="000000"/>
          <w:spacing w:val="-6"/>
          <w:sz w:val="24"/>
        </w:rPr>
        <w:t>涂黑。如</w:t>
      </w:r>
    </w:p>
    <w:p w14:paraId="426287C7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需改动，用橡皮擦干净后，再选涂其他答案标号。回答非选择题时，用黑色碳</w:t>
      </w:r>
      <w:r>
        <w:rPr>
          <w:rFonts w:ascii="Times New Roman"/>
          <w:color w:val="000000"/>
          <w:spacing w:val="6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素笔将答案写</w:t>
      </w:r>
    </w:p>
    <w:p w14:paraId="244CB194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在答题卡上。写在本试卷上无效。</w:t>
      </w:r>
    </w:p>
    <w:p w14:paraId="50C176C8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．考试结束后，将本试卷和答题卡一并交回。</w:t>
      </w:r>
    </w:p>
    <w:p w14:paraId="28894AF9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一、选择题：本大题共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</w:t>
      </w:r>
    </w:p>
    <w:p w14:paraId="6778F689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有一项是符合题目要求的。</w:t>
      </w:r>
    </w:p>
    <w:p w14:paraId="1F1FB1CE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考古工作者在某遗址发现房址、食物加工场等遗迹。该遗址出土大量陶片、石器、动物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骨骼和植物等遗</w:t>
      </w:r>
    </w:p>
    <w:p w14:paraId="74072630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存，其中石器分类明确，有斧、铲、刀、镰等生产工具，矛、弹丸等狩猎工具，磨盘、磨球、纺轮等生活</w:t>
      </w:r>
    </w:p>
    <w:p w14:paraId="5CDB464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用具，簪、璜等装饰品。这体现出（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AF345FA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原始农业出现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私有财产增加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贫富分化明显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早期国家产生</w:t>
      </w:r>
    </w:p>
    <w:p w14:paraId="51E4A71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下表是不同时期历史人物对周宣王的评论。下列说法正确的是（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ED21398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时代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人物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评论内容</w:t>
      </w:r>
    </w:p>
    <w:p w14:paraId="2C8109FA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春秋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周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太子晋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自我先王厉、宣、幽、平而贪天祸，至于今未弥。</w:t>
      </w:r>
    </w:p>
    <w:p w14:paraId="5AF0FBC7">
      <w:pPr>
        <w:spacing w:before="388" w:after="0" w:line="234" w:lineRule="exact"/>
        <w:ind w:left="0" w:right="2997" w:firstLine="205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 xml:space="preserve">桀杀关龙逢而汤得之，纣杀王子比干而武王得之，宣王杀杜伯 </w:t>
      </w:r>
      <w:r>
        <w:rPr>
          <w:rFonts w:ascii="宋体" w:hAnsi="宋体" w:cs="宋体"/>
          <w:color w:val="000000"/>
          <w:spacing w:val="0"/>
          <w:sz w:val="21"/>
        </w:rPr>
        <w:t>春秋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楚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诸御己</w:t>
      </w:r>
    </w:p>
    <w:p w14:paraId="163A54CF">
      <w:pPr>
        <w:spacing w:before="0" w:after="0" w:line="243" w:lineRule="exact"/>
        <w:ind w:left="205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而周室卑</w:t>
      </w:r>
      <w:r>
        <w:rPr>
          <w:rFonts w:ascii="Times New Roman" w:hAnsi="Times New Roman" w:cs="Times New Roman"/>
          <w:color w:val="000000"/>
          <w:spacing w:val="-10"/>
          <w:sz w:val="21"/>
        </w:rPr>
        <w:t>……</w:t>
      </w:r>
      <w:r>
        <w:rPr>
          <w:rFonts w:ascii="宋体" w:hAnsi="宋体" w:cs="宋体"/>
          <w:color w:val="000000"/>
          <w:spacing w:val="0"/>
          <w:sz w:val="21"/>
        </w:rPr>
        <w:t>皆不能尊贤。</w:t>
      </w:r>
    </w:p>
    <w:p w14:paraId="0022BA0B">
      <w:pPr>
        <w:spacing w:before="388" w:after="0" w:line="234" w:lineRule="exact"/>
        <w:ind w:left="0" w:right="2997" w:firstLine="2056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 xml:space="preserve">至于宣王，思昔先王之德，兴滞补弊，明文、武之功业，周道 </w:t>
      </w:r>
      <w:r>
        <w:rPr>
          <w:rFonts w:ascii="宋体" w:hAnsi="宋体" w:cs="宋体"/>
          <w:color w:val="000000"/>
          <w:spacing w:val="0"/>
          <w:sz w:val="21"/>
        </w:rPr>
        <w:t>西汉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董仲舒</w:t>
      </w:r>
    </w:p>
    <w:p w14:paraId="7BCD8FB8">
      <w:pPr>
        <w:spacing w:before="14" w:after="0" w:line="220" w:lineRule="exact"/>
        <w:ind w:left="205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灿然复兴。</w:t>
      </w:r>
    </w:p>
    <w:p w14:paraId="39877CB9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春秋时期产生了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宣王中兴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说</w:t>
      </w:r>
      <w:r>
        <w:rPr>
          <w:rFonts w:ascii="Times New Roman"/>
          <w:color w:val="000000"/>
          <w:spacing w:val="18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董仲舒对周宣王的评价较为客观</w:t>
      </w:r>
    </w:p>
    <w:p w14:paraId="2209A0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周宣王的历史形象发生较大变化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对周宣王的历史认知具有一致性</w:t>
      </w:r>
    </w:p>
    <w:p w14:paraId="537682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编定于战国时期的《尚书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禹贡》根据土地的肥瘠状况，评扬州的土地为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下下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。到南朝时，其地则被</w:t>
      </w:r>
    </w:p>
    <w:p w14:paraId="74AA50F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称誉为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三吴奥壤，旧称饶沃；虽凶荒之余，尤为殷盛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。以上变化说明该地区（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C6B0A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气候适合农业发展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生产能力得到提升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稻麦复种得到推广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经济发展超过北方</w:t>
      </w:r>
    </w:p>
    <w:p w14:paraId="4E2F841A">
      <w:pPr>
        <w:spacing w:before="18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E7C134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A3AEB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B3DD9B8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0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A84364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F2A16C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3pt;margin-top:135.6pt;height:141.6pt;width:240.6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214.35pt;margin-top:374.2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9.8pt;margin-top:693.15pt;height:8.75pt;width:4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唐朝纺织品广泛应用了从波斯传入的鸟衔花纹样（图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5"/>
          <w:sz w:val="21"/>
        </w:rPr>
        <w:t>）。工匠巧用自然元素做装饰，并将禽鸟替换为凤</w:t>
      </w:r>
    </w:p>
    <w:p w14:paraId="69E946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鸟、鸳鸯、大雁等瑞鸟，形成了能够体现唐朝雍容富丽、袅娜大气风貌的全新纹样（图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7"/>
          <w:sz w:val="21"/>
        </w:rPr>
        <w:t>）。材料反映出（</w:t>
      </w:r>
    </w:p>
    <w:p w14:paraId="7CC8ADC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28698F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中外审美差异显著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外来文化中国化</w:t>
      </w:r>
      <w:r>
        <w:rPr>
          <w:rFonts w:ascii="Times New Roman"/>
          <w:color w:val="000000"/>
          <w:spacing w:val="6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纺织技术世界领先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朝贡贸易常态化</w:t>
      </w:r>
    </w:p>
    <w:p w14:paraId="76960D7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北宋前期朝廷向大批普通官员颁授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1"/>
          <w:sz w:val="21"/>
        </w:rPr>
        <w:t>敕授告身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1"/>
          <w:sz w:val="21"/>
        </w:rPr>
        <w:t>作为委任凭证，其文词虽由中书门下的舍人院负责起草，</w:t>
      </w:r>
    </w:p>
    <w:p w14:paraId="2D97389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但告身文书在形式上却由三省和吏部签署下发。这说明（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089A3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三省体制影响尚存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中枢机构互相制衡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朝廷变法重建三省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官僚队伍极度膨胀</w:t>
      </w:r>
    </w:p>
    <w:p w14:paraId="2AC76E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乾隆时期，有官员这样评价当时</w:t>
      </w:r>
      <w:r>
        <w:rPr>
          <w:rFonts w:ascii="Times New Roman"/>
          <w:color w:val="000000"/>
          <w:spacing w:val="161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某项管理制度：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1"/>
          <w:sz w:val="21"/>
        </w:rPr>
        <w:t>平时足以消弭盗贼奸匪，稽核户口，偶遇地方荒歉，</w:t>
      </w:r>
    </w:p>
    <w:p w14:paraId="4DF733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查办赈务，亦按籍可稽，不致临时周章，乃安民之良法。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该制度旨在（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2E96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稽查盗贼奸匪</w:t>
      </w:r>
      <w:r>
        <w:rPr>
          <w:rFonts w:ascii="Times New Roman"/>
          <w:color w:val="000000"/>
          <w:spacing w:val="81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核查户口凭证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赈济地方荒歉</w:t>
      </w:r>
      <w:r>
        <w:rPr>
          <w:rFonts w:ascii="Times New Roman"/>
          <w:color w:val="000000"/>
          <w:spacing w:val="8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维护社会稳定</w:t>
      </w:r>
    </w:p>
    <w:p w14:paraId="3D94AC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1884 </w:t>
      </w:r>
      <w:r>
        <w:rPr>
          <w:rFonts w:ascii="宋体" w:hAnsi="宋体" w:cs="宋体"/>
          <w:color w:val="000000"/>
          <w:spacing w:val="1"/>
          <w:sz w:val="21"/>
        </w:rPr>
        <w:t>年，一位举人谈到洋务时，认为李鸿章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1"/>
          <w:sz w:val="21"/>
        </w:rPr>
        <w:t>开办招商、机器二局，耗资百万，消耗国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力，并无结果，</w:t>
      </w:r>
    </w:p>
    <w:p w14:paraId="7DCDF72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大失民心</w:t>
      </w:r>
      <w:r>
        <w:rPr>
          <w:rFonts w:ascii="Times New Roman" w:hAnsi="Times New Roman" w:cs="Times New Roman"/>
          <w:color w:val="000000"/>
          <w:spacing w:val="0"/>
          <w:sz w:val="21"/>
        </w:rPr>
        <w:t>”,</w:t>
      </w:r>
      <w:r>
        <w:rPr>
          <w:rFonts w:ascii="宋体" w:hAnsi="宋体" w:cs="宋体"/>
          <w:color w:val="000000"/>
          <w:spacing w:val="0"/>
          <w:sz w:val="21"/>
        </w:rPr>
        <w:t>并愤然道，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机器者圣人不语者也。此物唯有导国人去其质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朴而趋赴机巧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。材料体现出（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1D4ACE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李鸿章早期的现代化尝试归于失败</w:t>
      </w:r>
    </w:p>
    <w:p w14:paraId="6C0F641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传统士人缺乏救亡图存的民族意识</w:t>
      </w:r>
    </w:p>
    <w:p w14:paraId="5AFDC1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中学为体西学为用的思想根深蒂固</w:t>
      </w:r>
    </w:p>
    <w:p w14:paraId="7AF1647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洋务运动缺乏一定程度的社会基础</w:t>
      </w:r>
    </w:p>
    <w:p w14:paraId="42778E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1925 </w:t>
      </w:r>
      <w:r>
        <w:rPr>
          <w:rFonts w:ascii="宋体" w:hAnsi="宋体" w:cs="宋体"/>
          <w:color w:val="000000"/>
          <w:spacing w:val="1"/>
          <w:sz w:val="21"/>
        </w:rPr>
        <w:t>年，以滇籍共产党员为骨干的云南革新社在北京成立。其社刊《革新》的发刊词呼吁：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1"/>
          <w:sz w:val="21"/>
        </w:rPr>
        <w:t>要想改造云</w:t>
      </w:r>
    </w:p>
    <w:p w14:paraId="782A0E6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南，必须打倒军阀与帝国主义……我们的精神是贯注在民众的身上，我们的使命是在云南，而我们的目光则</w:t>
      </w:r>
    </w:p>
    <w:p w14:paraId="32654E2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又不只注于云南。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此时，该组织的建立（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A6CBE6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巩固了护国运动成果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响应了党的民主革命纲领</w:t>
      </w:r>
    </w:p>
    <w:p w14:paraId="335FC776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配合了北伐战争进程</w:t>
      </w:r>
      <w:r>
        <w:rPr>
          <w:rFonts w:ascii="Times New Roman"/>
          <w:color w:val="000000"/>
          <w:spacing w:val="26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推动了土地革命深入开展</w:t>
      </w:r>
    </w:p>
    <w:p w14:paraId="1A4EAF6D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据统计，西南联大历史学系共设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组选修课，史籍名著选读组的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门课中有</w:t>
      </w:r>
      <w:r>
        <w:rPr>
          <w:rFonts w:ascii="Times New Roman"/>
          <w:color w:val="000000"/>
          <w:spacing w:val="0"/>
          <w:sz w:val="21"/>
        </w:rPr>
        <w:t xml:space="preserve"> 8 </w:t>
      </w:r>
      <w:r>
        <w:rPr>
          <w:rFonts w:ascii="宋体" w:hAnsi="宋体" w:cs="宋体"/>
          <w:color w:val="000000"/>
          <w:spacing w:val="0"/>
          <w:sz w:val="21"/>
        </w:rPr>
        <w:t>门为中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国史籍名著；断</w:t>
      </w:r>
    </w:p>
    <w:p w14:paraId="4BDC16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代史组的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门课中有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门属中国史范畴，且规定必选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门中国史、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门西洋史；专门史组有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门中国</w:t>
      </w:r>
    </w:p>
    <w:p w14:paraId="02C05759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D6B5D9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EAF26F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B95D42E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1070AD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5F0F624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10.8pt;margin-top:186.6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235.35pt;margin-top:631.65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史课程。上述课程设置注重（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121CD6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中国古代历史研究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中国历史文脉传承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中西文化融会贯通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人文社会科学教育</w:t>
      </w:r>
    </w:p>
    <w:p w14:paraId="40CAA0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1956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-8"/>
          <w:sz w:val="21"/>
        </w:rPr>
        <w:t>11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月，周恩来在一次会议上指出：“任何一个国家建设社会主义总要有一点独</w:t>
      </w:r>
      <w:r>
        <w:rPr>
          <w:rFonts w:ascii="Times New Roman"/>
          <w:color w:val="000000"/>
          <w:spacing w:val="57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立的能力……而</w:t>
      </w:r>
    </w:p>
    <w:p w14:paraId="335987E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我们这样的大国，必须建立自己的完整的工业体系，不然一旦风吹草动，</w:t>
      </w:r>
      <w:r>
        <w:rPr>
          <w:rFonts w:ascii="Times New Roman"/>
          <w:color w:val="000000"/>
          <w:spacing w:val="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没有任何一个国家能够支援我们</w:t>
      </w:r>
    </w:p>
    <w:p w14:paraId="43A6704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完全解决问题。”这段话主要强调我国（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2EDE6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面临严峻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外部形势</w:t>
      </w:r>
      <w:r>
        <w:rPr>
          <w:rFonts w:ascii="Times New Roman"/>
          <w:color w:val="000000"/>
          <w:spacing w:val="2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坚持独立自主和平外交方针</w:t>
      </w:r>
    </w:p>
    <w:p w14:paraId="78F615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社会主义改造的影响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必须走社会主义工业化道路</w:t>
      </w:r>
    </w:p>
    <w:p w14:paraId="2E275B1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近年来，我国博物馆事业进入快速发展期。目前，除文物建筑及遗址类博物馆外，全国免费开放博物馆</w:t>
      </w:r>
    </w:p>
    <w:p w14:paraId="360DE9A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数达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6248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家，占博物馆总数的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91%</w:t>
      </w:r>
      <w:r>
        <w:rPr>
          <w:rFonts w:ascii="宋体" w:hAnsi="宋体" w:cs="宋体"/>
          <w:color w:val="000000"/>
          <w:spacing w:val="-1"/>
          <w:sz w:val="21"/>
        </w:rPr>
        <w:t>以上，累计优惠观众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多亿人次，我国已经成为世界上享受博物馆免</w:t>
      </w:r>
    </w:p>
    <w:p w14:paraId="19B98553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费开放服务人口最多的国家。据此可知（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C7021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民众的科学文化素养得到显著提升</w:t>
      </w:r>
      <w:r>
        <w:rPr>
          <w:rFonts w:ascii="Times New Roman"/>
          <w:color w:val="000000"/>
          <w:spacing w:val="136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博物馆展陈方式丰富多样</w:t>
      </w:r>
    </w:p>
    <w:p w14:paraId="3B425A9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新时代文化发展成果惠及更多民众</w:t>
      </w:r>
      <w:r>
        <w:rPr>
          <w:rFonts w:ascii="Times New Roman"/>
          <w:color w:val="000000"/>
          <w:spacing w:val="13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博物馆教育功能根本转变</w:t>
      </w:r>
    </w:p>
    <w:p w14:paraId="6042A6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从公元前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世纪晚期修建第一座水渠，到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世纪特拉亚那水渠建成，引入罗马的水量增加了</w:t>
      </w:r>
      <w:r>
        <w:rPr>
          <w:rFonts w:ascii="Times New Roman"/>
          <w:color w:val="000000"/>
          <w:spacing w:val="0"/>
          <w:sz w:val="21"/>
        </w:rPr>
        <w:t xml:space="preserve"> 15 </w:t>
      </w:r>
      <w:r>
        <w:rPr>
          <w:rFonts w:ascii="宋体" w:hAnsi="宋体" w:cs="宋体"/>
          <w:color w:val="000000"/>
          <w:spacing w:val="0"/>
          <w:sz w:val="21"/>
        </w:rPr>
        <w:t>倍。一</w:t>
      </w:r>
    </w:p>
    <w:p w14:paraId="001E62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位学者评价说：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这样一批必不可少的设施为城市提供了丰富的水源，</w:t>
      </w:r>
      <w:r>
        <w:rPr>
          <w:rFonts w:ascii="Times New Roman"/>
          <w:color w:val="000000"/>
          <w:spacing w:val="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如果你愿意，比较一下金字塔或虽然</w:t>
      </w:r>
    </w:p>
    <w:p w14:paraId="15428B6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有名却不实用的希腊人的工程</w:t>
      </w:r>
      <w:r>
        <w:rPr>
          <w:rFonts w:ascii="Times New Roman" w:hAnsi="Times New Roman" w:cs="Times New Roman"/>
          <w:color w:val="000000"/>
          <w:spacing w:val="0"/>
          <w:sz w:val="21"/>
        </w:rPr>
        <w:t>!”</w:t>
      </w:r>
      <w:r>
        <w:rPr>
          <w:rFonts w:ascii="宋体" w:hAnsi="宋体" w:cs="宋体"/>
          <w:color w:val="000000"/>
          <w:spacing w:val="0"/>
          <w:sz w:val="21"/>
        </w:rPr>
        <w:t>该学者意在说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明罗马（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000C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用水需求持续增加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水利工程技术高超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城市供水系统发达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注重工程的实用性</w:t>
      </w:r>
    </w:p>
    <w:p w14:paraId="1738147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13. 12 </w:t>
      </w:r>
      <w:r>
        <w:rPr>
          <w:rFonts w:ascii="宋体" w:hAnsi="宋体" w:cs="宋体"/>
          <w:color w:val="000000"/>
          <w:spacing w:val="0"/>
          <w:sz w:val="21"/>
        </w:rPr>
        <w:t>世纪，随着城市经济的发展，西欧出现了面向世俗群体的新文学。方言诗歌作为其中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的一类，作者</w:t>
      </w:r>
    </w:p>
    <w:p w14:paraId="04A9C7D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主要是世俗人士，他们以第一人称写作，并让自己扮演作品中的角色。方言诗歌有利于（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8B03BE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西欧各国教育普及</w:t>
      </w:r>
      <w:r>
        <w:rPr>
          <w:rFonts w:ascii="Times New Roman"/>
          <w:color w:val="000000"/>
          <w:spacing w:val="3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市民脱离教廷控制</w:t>
      </w:r>
      <w:r>
        <w:rPr>
          <w:rFonts w:ascii="Times New Roman"/>
          <w:color w:val="000000"/>
          <w:spacing w:val="4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西欧各地文化交流</w:t>
      </w:r>
      <w:r>
        <w:rPr>
          <w:rFonts w:ascii="Times New Roman"/>
          <w:color w:val="000000"/>
          <w:spacing w:val="4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增强地域文化认同</w:t>
      </w:r>
    </w:p>
    <w:p w14:paraId="4BE466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随着文艺复兴思潮的传入，从</w:t>
      </w:r>
      <w:r>
        <w:rPr>
          <w:rFonts w:ascii="Times New Roman"/>
          <w:color w:val="000000"/>
          <w:spacing w:val="0"/>
          <w:sz w:val="21"/>
        </w:rPr>
        <w:t xml:space="preserve"> 16 </w:t>
      </w:r>
      <w:r>
        <w:rPr>
          <w:rFonts w:ascii="宋体" w:hAnsi="宋体" w:cs="宋体"/>
          <w:color w:val="000000"/>
          <w:spacing w:val="0"/>
          <w:sz w:val="21"/>
        </w:rPr>
        <w:t>世纪开始，越来越多的英国贵族前往意大利游学，拜访文化名人，参</w:t>
      </w:r>
    </w:p>
    <w:p w14:paraId="103CC80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观文物古迹，并大肆收购古董和艺术精品。当地人开玩笑说，如果大斗兽场能够带走的话，英国人也就买</w:t>
      </w:r>
    </w:p>
    <w:p w14:paraId="2988E55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走了。据此可知，文艺复兴（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F4E6C5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弘扬了西欧的古典文化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拥有着广泛的社会基础</w:t>
      </w:r>
    </w:p>
    <w:p w14:paraId="0EC4C8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推动英国社会风尚转变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助推了意大利社会发展</w:t>
      </w:r>
    </w:p>
    <w:p w14:paraId="140618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19 </w:t>
      </w:r>
      <w:r>
        <w:rPr>
          <w:rFonts w:ascii="宋体" w:hAnsi="宋体" w:cs="宋体"/>
          <w:color w:val="000000"/>
          <w:spacing w:val="2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宋体" w:hAnsi="宋体" w:cs="宋体"/>
          <w:color w:val="000000"/>
          <w:spacing w:val="2"/>
          <w:sz w:val="21"/>
        </w:rPr>
        <w:t>年代末，德国</w:t>
      </w:r>
      <w:r>
        <w:rPr>
          <w:rFonts w:ascii="Times New Roman"/>
          <w:color w:val="000000"/>
          <w:spacing w:val="0"/>
          <w:sz w:val="21"/>
        </w:rPr>
        <w:t xml:space="preserve"> 20 </w:t>
      </w:r>
      <w:r>
        <w:rPr>
          <w:rFonts w:ascii="宋体" w:hAnsi="宋体" w:cs="宋体"/>
          <w:color w:val="000000"/>
          <w:spacing w:val="0"/>
          <w:sz w:val="21"/>
        </w:rPr>
        <w:t>至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34 </w:t>
      </w:r>
      <w:r>
        <w:rPr>
          <w:rFonts w:ascii="宋体" w:hAnsi="宋体" w:cs="宋体"/>
          <w:color w:val="000000"/>
          <w:spacing w:val="0"/>
          <w:sz w:val="21"/>
        </w:rPr>
        <w:t>岁</w:t>
      </w:r>
      <w:r>
        <w:rPr>
          <w:rFonts w:ascii="Times New Roman"/>
          <w:color w:val="000000"/>
          <w:spacing w:val="162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青壮年男性人口数量只略高于法国。</w:t>
      </w:r>
      <w:r>
        <w:rPr>
          <w:rFonts w:ascii="Times New Roman"/>
          <w:color w:val="000000"/>
          <w:spacing w:val="0"/>
          <w:sz w:val="21"/>
        </w:rPr>
        <w:t xml:space="preserve">1910 </w:t>
      </w:r>
      <w:r>
        <w:rPr>
          <w:rFonts w:ascii="宋体" w:hAnsi="宋体" w:cs="宋体"/>
          <w:color w:val="000000"/>
          <w:spacing w:val="2"/>
          <w:sz w:val="21"/>
        </w:rPr>
        <w:t>年德法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青壮年男性人</w:t>
      </w:r>
    </w:p>
    <w:p w14:paraId="25A65B7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口数量比例达到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1.6:1</w:t>
      </w:r>
      <w:r>
        <w:rPr>
          <w:rFonts w:ascii="宋体" w:hAnsi="宋体" w:cs="宋体"/>
          <w:color w:val="000000"/>
          <w:spacing w:val="-6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1939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年已扩大到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2:1</w:t>
      </w:r>
      <w:r>
        <w:rPr>
          <w:rFonts w:ascii="宋体" w:hAnsi="宋体" w:cs="宋体"/>
          <w:color w:val="000000"/>
          <w:spacing w:val="-1"/>
          <w:sz w:val="21"/>
        </w:rPr>
        <w:t>。戴高乐曾感叹，每有一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个法国男子达到兵役年龄，就有两个</w:t>
      </w:r>
    </w:p>
    <w:p w14:paraId="0F66FE7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德国人如此。材料描述的状况（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228FE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显示法国人口持续减少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促使法国放弃军备竞赛</w:t>
      </w:r>
    </w:p>
    <w:p w14:paraId="5E63ED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加剧法国绥靖主义倾向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使法国加快与苏联结盟</w:t>
      </w:r>
    </w:p>
    <w:p w14:paraId="33ECD86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16. 1955 </w:t>
      </w:r>
      <w:r>
        <w:rPr>
          <w:rFonts w:ascii="宋体" w:hAnsi="宋体" w:cs="宋体"/>
          <w:color w:val="000000"/>
          <w:spacing w:val="0"/>
          <w:sz w:val="21"/>
        </w:rPr>
        <w:t>年召开的万隆会议确立了尊重国际社会主体多样性的原则。在万隆精神的指引下，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发展中国家正</w:t>
      </w:r>
    </w:p>
    <w:p w14:paraId="10140ABA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74E759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FADB16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8481B7B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AF8A77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EA55A3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404.15pt;margin-top:72.55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形成一种反对西方中心主义和集团对抗，强调自主性与平等共治的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全球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南方安全观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。该安全观（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8D7E18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蕴含了不结盟的外交思想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推动了区域经济一体化</w:t>
      </w:r>
    </w:p>
    <w:p w14:paraId="1DB3464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体现了国际旧秩序的瓦解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巩固了世界多极化格局</w:t>
      </w:r>
    </w:p>
    <w:p w14:paraId="2C17680D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二、非选择题：本大题共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32AD619A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2995BA85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秦汉时期，农业发展和以伐木为主的林业开发导致山林原生植被屡受损害，时人从生态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和经</w:t>
      </w:r>
    </w:p>
    <w:p w14:paraId="339566D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济需要出发而制定了护林制度：秦律规定“春二月，毋敢伐材木山林”;汉代颁布保护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楷体" w:hAnsi="楷体" w:cs="楷体"/>
          <w:color w:val="000000"/>
          <w:spacing w:val="2"/>
          <w:sz w:val="21"/>
        </w:rPr>
        <w:t>林木的诏书，要求</w:t>
      </w:r>
    </w:p>
    <w:p w14:paraId="309D8AF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基层官员严格检查和上报。秦汉政府重视人工造林、育林，秦驰道两旁“三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丈而树”,汉代交通要道两侧</w:t>
      </w:r>
    </w:p>
    <w:p w14:paraId="252A064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也大都植树；秦将蒙恬抗击匈奴时曾“树榆为塞”,汉武帝时对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这一人工林带进行了延长和加宽，被学者</w:t>
      </w:r>
    </w:p>
    <w:p w14:paraId="7425EEE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称为“绿色长城”。此时经济林经营兴盛，《史记》</w:t>
      </w:r>
      <w:r>
        <w:rPr>
          <w:rFonts w:ascii="Times New Roman"/>
          <w:color w:val="000000"/>
          <w:spacing w:val="57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有“安邑千树枣，燕秦千树栗”等记载。</w:t>
      </w:r>
    </w:p>
    <w:p w14:paraId="6FA38DC2">
      <w:pPr>
        <w:spacing w:before="248" w:after="0" w:line="220" w:lineRule="exact"/>
        <w:ind w:left="55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——摘编自王子今《秦汉时期生态环境研究》</w:t>
      </w:r>
    </w:p>
    <w:p w14:paraId="2E89514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雅典是古希腊的代表性城邦之一。其森林资源主要用于建造军用船只和商船，以及用作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燃</w:t>
      </w:r>
    </w:p>
    <w:p w14:paraId="768FDAA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料、建筑木材、饲料等。到公元前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世纪中期，雅典及周边地区树木由于乱砍滥伐，加之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过度放牧以及持</w:t>
      </w:r>
    </w:p>
    <w:p w14:paraId="1426256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续增长的燃料需求而严重退化，山地水土流失严重，大量淤泥沉积在沿岸地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区，许多河流面临枯竭，随之</w:t>
      </w:r>
    </w:p>
    <w:p w14:paraId="2B59E56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而来的是农业产量的下降，以及森林资源的持续短缺。为了防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止森林退化，柏拉图曾提过几点建议：首</w:t>
      </w:r>
    </w:p>
    <w:p w14:paraId="318DE7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先，对羊群进行看管，避免破坏树木和作物；其次，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禁止滥采树枝作燃料；最后，禁止放火烧山。</w:t>
      </w:r>
    </w:p>
    <w:p w14:paraId="050144CB">
      <w:pPr>
        <w:spacing w:before="248" w:after="0" w:line="220" w:lineRule="exact"/>
        <w:ind w:left="512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——摘编自（美）唐纳德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·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休斯《世界环境史》</w:t>
      </w:r>
    </w:p>
    <w:p w14:paraId="0845A13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）根据材料一，概括秦汉时期发展林业的措施。</w:t>
      </w:r>
    </w:p>
    <w:p w14:paraId="49FA61C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）根据材料并结合所学知识，总结秦汉与雅典林业发展的经验。</w:t>
      </w:r>
    </w:p>
    <w:p w14:paraId="678F9D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0A026DDA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七七事变前，中国除东北地区外交通基础十分薄弱。全国抗战爆发后，国民政府西迁重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庆，</w:t>
      </w:r>
    </w:p>
    <w:p w14:paraId="1C826F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采取多种措施推动西南地区交通运输业的发展。公路方面，各族群众、爱国华侨齐心协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力，打通滇缅公</w:t>
      </w:r>
    </w:p>
    <w:p w14:paraId="770715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路全线，修通中印公路，改善西南国际交通。同时，通过改善旧路和修筑新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路，形成以贵阳、重庆为中</w:t>
      </w:r>
    </w:p>
    <w:p w14:paraId="7C9BF5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心的西南公路网，并与西北公路连接起来。铁路方面，赶筑滇缅、</w:t>
      </w:r>
      <w:r>
        <w:rPr>
          <w:rFonts w:ascii="Times New Roman"/>
          <w:color w:val="000000"/>
          <w:spacing w:val="5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川滇铁路。水运方面，扩展和开辟长江、</w:t>
      </w:r>
    </w:p>
    <w:p w14:paraId="6FB58AA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嘉陵江等航线，实现水陆联运。空运方面，开辟莫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斯科至重庆、重庆至香港、昆明至河内、昆明至仰光</w:t>
      </w:r>
    </w:p>
    <w:p w14:paraId="700D316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及驼峰航线等。</w:t>
      </w:r>
    </w:p>
    <w:p w14:paraId="6A4B5F77">
      <w:pPr>
        <w:spacing w:before="248" w:after="0" w:line="220" w:lineRule="exact"/>
        <w:ind w:left="512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——摘编自章开沅、朱英主编《中国近现代史》等</w:t>
      </w:r>
    </w:p>
    <w:p w14:paraId="4B9022FF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在抗战大后方的新疆地区，各族儿女的抗战热情不断高涨。在八路军驻新疆办事处推动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下，</w:t>
      </w:r>
    </w:p>
    <w:p w14:paraId="16416E0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抗战文化宣传和“一县一机”等抗日募捐活动此起彼伏，中苏国际公路交通线和航空线、</w:t>
      </w:r>
      <w:r>
        <w:rPr>
          <w:rFonts w:ascii="Times New Roman"/>
          <w:color w:val="000000"/>
          <w:spacing w:val="4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中印驿运线开通。</w:t>
      </w:r>
    </w:p>
    <w:p w14:paraId="7D3146C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新疆各族同胞捐献的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架“新疆号”战斗机参加武汉保卫战，至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1944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月，共捐献飞机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154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架。此外，</w:t>
      </w:r>
    </w:p>
    <w:p w14:paraId="6A4A33D0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D06C05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0F7F21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F1E7B39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94CF2A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52ED218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362.9pt;margin-top:163.35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47pt;margin-top:533.3pt;height:224.15pt;width:229.3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新疆各族人民还架桥修路，运输盟国援华物资，并以大量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的农、牧、矿产品换回抗战急需的武器、弹药和</w:t>
      </w:r>
    </w:p>
    <w:p w14:paraId="67D2FCF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军需品。</w:t>
      </w:r>
    </w:p>
    <w:p w14:paraId="13B0DBD0">
      <w:pPr>
        <w:spacing w:before="248" w:after="0" w:line="220" w:lineRule="exact"/>
        <w:ind w:left="533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——摘编自本书编写组《中华民族共同体概论》</w:t>
      </w:r>
    </w:p>
    <w:p w14:paraId="3F03DE1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）根据材料一，概括全国抗战时期西南交通运输业发展的特点。</w:t>
      </w:r>
    </w:p>
    <w:p w14:paraId="04DB43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）根据材料并结合所学知识，简析全国抗战时期大后方交通建设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意义。</w:t>
      </w:r>
    </w:p>
    <w:p w14:paraId="7F7F750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55422DE7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工业革命后，越来越多的机器取代了双手，蒸汽机取代了人力、畜力、风力和水力，火车和汽</w:t>
      </w:r>
    </w:p>
    <w:p w14:paraId="6372C27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船取代了马车、牛车和帆船。第二次工业革命中电力和内燃机得到广泛运用，新兴产业部门兴起，不仅在</w:t>
      </w:r>
    </w:p>
    <w:p w14:paraId="4CB537B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体力上解放了人类，“解放”还延伸到人类的脑力。20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世纪上半期，在物理学革命的带动下，新科技革命的</w:t>
      </w:r>
    </w:p>
    <w:p w14:paraId="39C9FC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发展加速运行、不断上升，但这并不意味着人的劳动被否定，相反，人的创新性、应变性和智慧性等特征</w:t>
      </w:r>
    </w:p>
    <w:p w14:paraId="6D6659A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使其在智能工厂中的作用愈发变得“核心化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。</w:t>
      </w:r>
    </w:p>
    <w:p w14:paraId="29D00170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这一进程对人类的心理状态也产生了颠覆性的影响，开始产生持久的创造、发展和改进的动力，“变化</w:t>
      </w:r>
    </w:p>
    <w:p w14:paraId="67A1266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2"/>
          <w:sz w:val="21"/>
        </w:rPr>
        <w:t>而非停滞”这样的观念深入人心。世界和人类的未来需要我们通过自己的智慧和创造力，重拾我们作为行</w:t>
      </w:r>
    </w:p>
    <w:p w14:paraId="64C29D7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动者、创造者、实际问题解决者的本能。</w:t>
      </w:r>
    </w:p>
    <w:p w14:paraId="45BEF6DD">
      <w:pPr>
        <w:spacing w:before="248" w:after="0" w:line="220" w:lineRule="exact"/>
        <w:ind w:left="260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——摘编自（英）罗杰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·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奥斯本《钢铁、蒸汽与资本：工业革命的起源》等</w:t>
      </w:r>
    </w:p>
    <w:p w14:paraId="41FF0C1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）根据材料并结合所学知识，归纳工业革命以来技术革新的特点。</w:t>
      </w:r>
    </w:p>
    <w:p w14:paraId="2D732A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）根据材料并结合所学知识，简析工业革命以来人类创造力与科技发展的关系。</w:t>
      </w:r>
    </w:p>
    <w:p w14:paraId="083D93F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7DC47322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铜镜是古代中国人的日常生活用品，其上铸刻的铭文能反映人们的价值取向。表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所列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为部分</w:t>
      </w:r>
    </w:p>
    <w:p w14:paraId="48C71A4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常见的铜镜铭文。</w:t>
      </w:r>
    </w:p>
    <w:p w14:paraId="4D9CCAE9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主题</w:t>
      </w:r>
      <w:r>
        <w:rPr>
          <w:rFonts w:ascii="Times New Roman"/>
          <w:color w:val="000000"/>
          <w:spacing w:val="22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铭文内容</w:t>
      </w:r>
    </w:p>
    <w:p w14:paraId="329D6E69">
      <w:pPr>
        <w:spacing w:before="413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与天相寿，与地相长。</w:t>
      </w:r>
    </w:p>
    <w:p w14:paraId="1512FCC5">
      <w:pPr>
        <w:spacing w:before="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</w:t>
      </w:r>
    </w:p>
    <w:p w14:paraId="12956615">
      <w:pPr>
        <w:spacing w:before="97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延年益寿辟不祥。</w:t>
      </w:r>
    </w:p>
    <w:p w14:paraId="77696C59">
      <w:pPr>
        <w:spacing w:before="413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家当大富乐未央，子孙具备居中央。</w:t>
      </w:r>
    </w:p>
    <w:p w14:paraId="28243997">
      <w:pPr>
        <w:spacing w:before="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家</w:t>
      </w:r>
    </w:p>
    <w:p w14:paraId="1F997C14">
      <w:pPr>
        <w:spacing w:before="97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七子八孙居中央，夫妻相保如威央兮。</w:t>
      </w:r>
    </w:p>
    <w:p w14:paraId="641691BE">
      <w:pPr>
        <w:spacing w:before="413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多贺国家人民息，风雨时节五谷熟。</w:t>
      </w:r>
    </w:p>
    <w:p w14:paraId="266DD18A">
      <w:pPr>
        <w:spacing w:before="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国</w:t>
      </w:r>
    </w:p>
    <w:p w14:paraId="2ED33759">
      <w:pPr>
        <w:spacing w:before="97" w:after="0" w:line="220" w:lineRule="exact"/>
        <w:ind w:left="69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中国大宁，子孙益昌。</w:t>
      </w:r>
    </w:p>
    <w:p w14:paraId="761ACB0E">
      <w:pPr>
        <w:spacing w:before="44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8C083F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21601F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19E745E">
      <w:pPr>
        <w:spacing w:before="0" w:after="0" w:line="220" w:lineRule="exact"/>
        <w:ind w:left="5969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9" o:spid="_x0000_s1059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——摘编自葛兆光《中国思想史》第一卷</w:t>
      </w:r>
    </w:p>
    <w:p w14:paraId="2D1E0D5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选择中华优秀传统文化中的一种或多种价值取向，根据材料并结合中国史实进行阐述。</w:t>
      </w:r>
      <w:r>
        <w:rPr>
          <w:rFonts w:ascii="Times New Roman"/>
          <w:color w:val="000000"/>
          <w:spacing w:val="4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（要求：明确列出</w:t>
      </w:r>
    </w:p>
    <w:p w14:paraId="49DD38C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价值取向，自拟题目，观点正确，史论结合，论述充分，逻辑严密。）</w:t>
      </w:r>
    </w:p>
    <w:p w14:paraId="68675C67">
      <w:pPr>
        <w:spacing w:before="1276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5F9106B-7DE9-4927-959F-AB030D48149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F8B13C47-608C-430F-BB9A-C1E04E247D3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CBDCCDD-C34C-458E-819B-7792AFE7A38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6FC167E8-76C0-4F40-9146-8C941133703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BED1357-4337-40B7-9394-B56B04D8D14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F5A3D0A6-A265-4934-8351-928DADFCF6EE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19D61A11-5928-49B4-946C-5C98998A943E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60AA02E4-58DA-4193-B9B4-D82A8F50B67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80BFFE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F4AB2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3A874F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54739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2553D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87860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45066BC"/>
    <w:rsid w:val="12600270"/>
    <w:rsid w:val="177A58BC"/>
    <w:rsid w:val="63985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9"/>
    <customShpInfo spid="_x0000_s1060"/>
    <customShpInfo spid="_x0000_s1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4382</Words>
  <Characters>4534</Characters>
  <Lines>0</Lines>
  <Paragraphs>151</Paragraphs>
  <TotalTime>3</TotalTime>
  <ScaleCrop>false</ScaleCrop>
  <LinksUpToDate>false</LinksUpToDate>
  <CharactersWithSpaces>4826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2025-06-23T12:31:00Z</dcterms:created>
  <dc:creator>Administrator</dc:creator>
  <cp:lastModifiedBy>上帝掷骰子吗</cp:lastModifiedBy>
  <dcterms:modified xsi:type="dcterms:W3CDTF">2026-02-10T06:55:16Z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5DC3CB121A5D470BAE7C20C70C31F373_12</vt:lpwstr>
  </property>
</Properties>
</file>