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016F3">
      <w:pPr>
        <w:widowControl w:val="0"/>
        <w:spacing w:before="0" w:after="0" w:line="286"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11988800</wp:posOffset>
            </wp:positionH>
            <wp:positionV relativeFrom="topMargin">
              <wp:posOffset>11722100</wp:posOffset>
            </wp:positionV>
            <wp:extent cx="419100" cy="40005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8"/>
                    <a:stretch>
                      <a:fillRect/>
                    </a:stretch>
                  </pic:blipFill>
                  <pic:spPr>
                    <a:xfrm>
                      <a:off x="0" y="0"/>
                      <a:ext cx="419100" cy="400050"/>
                    </a:xfrm>
                    <a:prstGeom prst="rect">
                      <a:avLst/>
                    </a:prstGeom>
                  </pic:spPr>
                </pic:pic>
              </a:graphicData>
            </a:graphic>
          </wp:anchor>
        </w:drawing>
      </w:r>
      <w:r>
        <w:rPr>
          <w:rFonts w:ascii="宋体" w:hAnsi="宋体" w:eastAsia="宋体" w:cs="宋体"/>
          <w:b/>
          <w:bCs/>
          <w:sz w:val="32"/>
          <w:szCs w:val="32"/>
        </w:rPr>
        <w:t>历史试题</w:t>
      </w:r>
    </w:p>
    <w:p w14:paraId="60391CE1">
      <w:pPr>
        <w:widowControl w:val="0"/>
        <w:spacing w:before="0" w:after="0" w:line="286" w:lineRule="auto"/>
      </w:pPr>
      <w:r>
        <w:rPr>
          <w:rFonts w:ascii="宋体" w:hAnsi="宋体" w:eastAsia="宋体" w:cs="宋体"/>
          <w:b/>
          <w:bCs/>
        </w:rPr>
        <w:t>一、选择题：本题共</w:t>
      </w:r>
      <w:r>
        <w:rPr>
          <w:b/>
          <w:bCs/>
        </w:rPr>
        <w:t>28</w:t>
      </w:r>
      <w:r>
        <w:rPr>
          <w:rFonts w:ascii="宋体" w:hAnsi="宋体" w:eastAsia="宋体" w:cs="宋体"/>
          <w:b/>
          <w:bCs/>
        </w:rPr>
        <w:t>小题，每小题</w:t>
      </w:r>
      <w:r>
        <w:rPr>
          <w:b/>
          <w:bCs/>
        </w:rPr>
        <w:t>2</w:t>
      </w:r>
      <w:r>
        <w:rPr>
          <w:rFonts w:ascii="宋体" w:hAnsi="宋体" w:eastAsia="宋体" w:cs="宋体"/>
          <w:b/>
          <w:bCs/>
        </w:rPr>
        <w:t>分，共</w:t>
      </w:r>
      <w:r>
        <w:rPr>
          <w:b/>
          <w:bCs/>
        </w:rPr>
        <w:t>56</w:t>
      </w:r>
      <w:r>
        <w:rPr>
          <w:rFonts w:ascii="宋体" w:hAnsi="宋体" w:eastAsia="宋体" w:cs="宋体"/>
          <w:b/>
          <w:bCs/>
        </w:rPr>
        <w:t>分。在每小题给出的四个选项中，只有一项是符合题目要求的。</w:t>
      </w:r>
    </w:p>
    <w:p w14:paraId="7AA04131">
      <w:pPr>
        <w:widowControl w:val="0"/>
        <w:spacing w:before="0" w:after="0" w:line="360" w:lineRule="auto"/>
        <w:rPr>
          <w:sz w:val="21"/>
          <w:szCs w:val="21"/>
        </w:rPr>
      </w:pPr>
      <w:r>
        <w:rPr>
          <w:sz w:val="21"/>
          <w:szCs w:val="21"/>
        </w:rPr>
        <w:t xml:space="preserve">1. </w:t>
      </w:r>
      <w:r>
        <w:rPr>
          <w:rFonts w:ascii="宋体" w:hAnsi="宋体" w:eastAsia="宋体" w:cs="宋体"/>
          <w:sz w:val="21"/>
          <w:szCs w:val="21"/>
        </w:rPr>
        <w:t>下图为出土于各地的新石器时期文物，可用于佐证（</w:t>
      </w:r>
      <w:r>
        <w:rPr>
          <w:sz w:val="21"/>
          <w:szCs w:val="21"/>
        </w:rPr>
        <w:t xml:space="preserve">   </w:t>
      </w:r>
      <w:r>
        <w:rPr>
          <w:rFonts w:ascii="宋体" w:hAnsi="宋体" w:eastAsia="宋体" w:cs="宋体"/>
          <w:sz w:val="21"/>
          <w:szCs w:val="21"/>
        </w:rPr>
        <w:t>）</w:t>
      </w:r>
    </w:p>
    <w:p w14:paraId="44992A81">
      <w:pPr>
        <w:widowControl w:val="0"/>
        <w:spacing w:before="0" w:after="0" w:line="360" w:lineRule="auto"/>
        <w:rPr>
          <w:sz w:val="21"/>
          <w:szCs w:val="21"/>
        </w:rPr>
      </w:pPr>
      <w:r>
        <w:rPr>
          <w:strike w:val="0"/>
          <w:sz w:val="21"/>
          <w:szCs w:val="21"/>
          <w:u w:val="none"/>
        </w:rPr>
        <w:drawing>
          <wp:inline distT="0" distB="0" distL="114300" distR="114300">
            <wp:extent cx="5238750" cy="18192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819275"/>
                    </a:xfrm>
                    <a:prstGeom prst="rect">
                      <a:avLst/>
                    </a:prstGeom>
                  </pic:spPr>
                </pic:pic>
              </a:graphicData>
            </a:graphic>
          </wp:inline>
        </w:drawing>
      </w:r>
    </w:p>
    <w:p w14:paraId="4955D39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中华早期文化分布较广</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游牧民族的狩猎场景</w:t>
      </w:r>
    </w:p>
    <w:p w14:paraId="7383DE6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“龙的文化”已经定型</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半坡居民的耕作生活</w:t>
      </w:r>
    </w:p>
    <w:p w14:paraId="006B77EA">
      <w:pPr>
        <w:widowControl w:val="0"/>
        <w:spacing w:before="0" w:after="0" w:line="360" w:lineRule="auto"/>
        <w:rPr>
          <w:sz w:val="21"/>
          <w:szCs w:val="21"/>
        </w:rPr>
      </w:pPr>
      <w:r>
        <w:rPr>
          <w:sz w:val="21"/>
          <w:szCs w:val="21"/>
        </w:rPr>
        <w:t xml:space="preserve">2. </w:t>
      </w:r>
      <w:r>
        <w:rPr>
          <w:rFonts w:ascii="宋体" w:hAnsi="宋体" w:eastAsia="宋体" w:cs="宋体"/>
          <w:sz w:val="21"/>
          <w:szCs w:val="21"/>
        </w:rPr>
        <w:t>子路问，“闻斯行诸”（听到就去做吗？）孔子说不行；冉有问同样的问题，孔子却说可以。有弟子对此表示疑惑，孔子说，冉有行事畏缩，所以鼓励他大胆去做，子路比较鲁莽，所以让他注意克制。这体现了孔子注重（</w:t>
      </w:r>
      <w:r>
        <w:rPr>
          <w:sz w:val="21"/>
          <w:szCs w:val="21"/>
        </w:rPr>
        <w:t xml:space="preserve">   </w:t>
      </w:r>
      <w:r>
        <w:rPr>
          <w:rFonts w:ascii="宋体" w:hAnsi="宋体" w:eastAsia="宋体" w:cs="宋体"/>
          <w:sz w:val="21"/>
          <w:szCs w:val="21"/>
        </w:rPr>
        <w:t>）</w:t>
      </w:r>
    </w:p>
    <w:p w14:paraId="7D3C4D0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学而不厌</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因材施教</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温故知新</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不耻下问</w:t>
      </w:r>
    </w:p>
    <w:p w14:paraId="246E65DD">
      <w:pPr>
        <w:widowControl w:val="0"/>
        <w:spacing w:before="0" w:after="0" w:line="360" w:lineRule="auto"/>
        <w:rPr>
          <w:sz w:val="21"/>
          <w:szCs w:val="21"/>
        </w:rPr>
      </w:pPr>
      <w:r>
        <w:rPr>
          <w:sz w:val="21"/>
          <w:szCs w:val="21"/>
        </w:rPr>
        <w:t xml:space="preserve">3. </w:t>
      </w:r>
      <w:r>
        <w:rPr>
          <w:rFonts w:ascii="宋体" w:hAnsi="宋体" w:eastAsia="宋体" w:cs="宋体"/>
          <w:sz w:val="21"/>
          <w:szCs w:val="21"/>
        </w:rPr>
        <w:t>晋文公曾与诸侯会盟于河阳，并召周天子来参加。这反映的是</w:t>
      </w:r>
    </w:p>
    <w:p w14:paraId="5CCFE86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0"/>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国都变迁</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分封制走向瓦解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百家争鸣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大一统得到巩固</w:t>
      </w:r>
    </w:p>
    <w:p w14:paraId="1A664190">
      <w:pPr>
        <w:widowControl w:val="0"/>
        <w:spacing w:before="0" w:after="0" w:line="360" w:lineRule="auto"/>
        <w:rPr>
          <w:sz w:val="21"/>
          <w:szCs w:val="21"/>
        </w:rPr>
      </w:pPr>
      <w:r>
        <w:rPr>
          <w:sz w:val="21"/>
          <w:szCs w:val="21"/>
        </w:rPr>
        <w:t xml:space="preserve">4. </w:t>
      </w:r>
      <w:r>
        <w:rPr>
          <w:rFonts w:ascii="宋体" w:hAnsi="宋体" w:eastAsia="宋体" w:cs="宋体"/>
          <w:sz w:val="21"/>
          <w:szCs w:val="21"/>
        </w:rPr>
        <w:t>琵琶源于西亚，现代维吾尔语称琵琶为“巴比特”（</w:t>
      </w:r>
      <w:r>
        <w:rPr>
          <w:sz w:val="21"/>
          <w:szCs w:val="21"/>
        </w:rPr>
        <w:t>barbit</w:t>
      </w:r>
      <w:r>
        <w:rPr>
          <w:rFonts w:ascii="宋体" w:hAnsi="宋体" w:eastAsia="宋体" w:cs="宋体"/>
          <w:sz w:val="21"/>
          <w:szCs w:val="21"/>
        </w:rPr>
        <w:t>），与古波斯语对琵琶的称呼“巴波特”（</w:t>
      </w:r>
      <w:r>
        <w:rPr>
          <w:sz w:val="21"/>
          <w:szCs w:val="21"/>
        </w:rPr>
        <w:t>barbot</w:t>
      </w:r>
      <w:r>
        <w:rPr>
          <w:rFonts w:ascii="宋体" w:hAnsi="宋体" w:eastAsia="宋体" w:cs="宋体"/>
          <w:sz w:val="21"/>
          <w:szCs w:val="21"/>
        </w:rPr>
        <w:t>）十分相似。这一现象应缘于（</w:t>
      </w:r>
      <w:r>
        <w:rPr>
          <w:sz w:val="21"/>
          <w:szCs w:val="21"/>
        </w:rPr>
        <w:t xml:space="preserve">   </w:t>
      </w:r>
      <w:r>
        <w:rPr>
          <w:rFonts w:ascii="宋体" w:hAnsi="宋体" w:eastAsia="宋体" w:cs="宋体"/>
          <w:sz w:val="21"/>
          <w:szCs w:val="21"/>
        </w:rPr>
        <w:t>）</w:t>
      </w:r>
    </w:p>
    <w:p w14:paraId="7FF8517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丝绸之路</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北魏孝文帝改革</w:t>
      </w:r>
    </w:p>
    <w:p w14:paraId="2DE4018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隋大运河的开通</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郑和下西洋</w:t>
      </w:r>
    </w:p>
    <w:p w14:paraId="5E822E80">
      <w:pPr>
        <w:widowControl w:val="0"/>
        <w:spacing w:before="0" w:after="0" w:line="360" w:lineRule="auto"/>
        <w:rPr>
          <w:sz w:val="21"/>
          <w:szCs w:val="21"/>
        </w:rPr>
      </w:pPr>
      <w:r>
        <w:rPr>
          <w:sz w:val="21"/>
          <w:szCs w:val="21"/>
        </w:rPr>
        <w:t xml:space="preserve">5. </w:t>
      </w:r>
      <w:r>
        <w:rPr>
          <w:rFonts w:ascii="宋体" w:hAnsi="宋体" w:eastAsia="宋体" w:cs="宋体"/>
          <w:sz w:val="21"/>
          <w:szCs w:val="21"/>
        </w:rPr>
        <w:t>据表可知，《齐民要术》（</w:t>
      </w:r>
      <w:r>
        <w:rPr>
          <w:sz w:val="21"/>
          <w:szCs w:val="21"/>
        </w:rPr>
        <w:t xml:space="preserve">   </w:t>
      </w:r>
      <w:r>
        <w:rPr>
          <w:rFonts w:ascii="宋体" w:hAnsi="宋体" w:eastAsia="宋体" w:cs="宋体"/>
          <w:sz w:val="21"/>
          <w:szCs w:val="21"/>
        </w:rPr>
        <w:t>）</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60"/>
        <w:gridCol w:w="1500"/>
        <w:gridCol w:w="2340"/>
      </w:tblGrid>
      <w:tr w14:paraId="7083610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4F5A8865">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时期</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0D99EA1">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农书</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6A997806">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内容主要来源</w:t>
            </w:r>
          </w:p>
        </w:tc>
      </w:tr>
      <w:tr w14:paraId="731AE75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BDD8F83">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东汉</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DDBC2C5">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《四民月令》</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0068004">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日常农事活动</w:t>
            </w:r>
          </w:p>
        </w:tc>
      </w:tr>
      <w:tr w14:paraId="75D5BFF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E93C518">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北魏</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99DEA76">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《齐民要术》</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5B557E2A">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收集整理的百余种古书</w:t>
            </w:r>
          </w:p>
        </w:tc>
      </w:tr>
      <w:tr w14:paraId="67DD5F6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0B05E99D">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明朝</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74CA3429">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《农政全书》</w:t>
            </w:r>
          </w:p>
        </w:tc>
        <w:tc>
          <w:tcPr>
            <w:tcBorders>
              <w:top w:val="single" w:color="000000" w:sz="6" w:space="0"/>
              <w:left w:val="single" w:color="000000" w:sz="6" w:space="0"/>
            </w:tcBorders>
            <w:noWrap w:val="0"/>
            <w:tcMar>
              <w:top w:w="76" w:type="dxa"/>
              <w:left w:w="120" w:type="dxa"/>
              <w:bottom w:w="76" w:type="dxa"/>
              <w:right w:w="120" w:type="dxa"/>
            </w:tcMar>
            <w:vAlign w:val="center"/>
          </w:tcPr>
          <w:p w14:paraId="1CCE5678">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大量引用《齐民要术》</w:t>
            </w:r>
          </w:p>
        </w:tc>
      </w:tr>
    </w:tbl>
    <w:p w14:paraId="48B328E0">
      <w:pPr>
        <w:widowControl w:val="0"/>
        <w:spacing w:before="0" w:after="0" w:line="360" w:lineRule="auto"/>
        <w:rPr>
          <w:sz w:val="21"/>
          <w:szCs w:val="21"/>
        </w:rPr>
      </w:pPr>
      <w:r>
        <w:rPr>
          <w:strike w:val="0"/>
          <w:sz w:val="21"/>
          <w:szCs w:val="21"/>
          <w:u w:val="none"/>
        </w:rPr>
        <w:drawing>
          <wp:inline distT="0" distB="0" distL="114300" distR="114300">
            <wp:extent cx="28575" cy="28575"/>
            <wp:effectExtent l="0" t="0" r="0" b="0"/>
            <wp:docPr id="100015" name="图片 100015"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page number 0"/>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2407C8A9">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5F1F855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具有承上启下的作用</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强调因地制宜</w:t>
      </w:r>
    </w:p>
    <w:p w14:paraId="11FD1EC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开创农书撰写的先河</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注重工具革新</w:t>
      </w:r>
    </w:p>
    <w:p w14:paraId="450301D6">
      <w:pPr>
        <w:widowControl w:val="0"/>
        <w:spacing w:before="0" w:after="0" w:line="360" w:lineRule="auto"/>
        <w:rPr>
          <w:sz w:val="21"/>
          <w:szCs w:val="21"/>
        </w:rPr>
      </w:pPr>
      <w:r>
        <w:rPr>
          <w:sz w:val="21"/>
          <w:szCs w:val="21"/>
        </w:rPr>
        <w:t xml:space="preserve">6. </w:t>
      </w:r>
      <w:r>
        <w:rPr>
          <w:rFonts w:ascii="宋体" w:hAnsi="宋体" w:eastAsia="宋体" w:cs="宋体"/>
          <w:sz w:val="21"/>
          <w:szCs w:val="21"/>
        </w:rPr>
        <w:t>下图为某同学收集的诗词。其研究的主题应是（</w:t>
      </w:r>
      <w:r>
        <w:rPr>
          <w:sz w:val="21"/>
          <w:szCs w:val="21"/>
        </w:rPr>
        <w:t xml:space="preserve">   </w:t>
      </w:r>
      <w:r>
        <w:rPr>
          <w:rFonts w:ascii="宋体" w:hAnsi="宋体" w:eastAsia="宋体" w:cs="宋体"/>
          <w:sz w:val="21"/>
          <w:szCs w:val="21"/>
        </w:rPr>
        <w:t>）</w:t>
      </w:r>
    </w:p>
    <w:p w14:paraId="4718F5D5">
      <w:pPr>
        <w:widowControl w:val="0"/>
        <w:spacing w:before="0" w:after="0" w:line="360" w:lineRule="auto"/>
        <w:rPr>
          <w:sz w:val="21"/>
          <w:szCs w:val="21"/>
        </w:rPr>
      </w:pPr>
      <w:r>
        <w:rPr>
          <w:strike w:val="0"/>
          <w:sz w:val="21"/>
          <w:szCs w:val="21"/>
          <w:u w:val="none"/>
        </w:rPr>
        <w:drawing>
          <wp:inline distT="0" distB="0" distL="114300" distR="114300">
            <wp:extent cx="2324100" cy="15811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324100" cy="1581150"/>
                    </a:xfrm>
                    <a:prstGeom prst="rect">
                      <a:avLst/>
                    </a:prstGeom>
                  </pic:spPr>
                </pic:pic>
              </a:graphicData>
            </a:graphic>
          </wp:inline>
        </w:drawing>
      </w:r>
    </w:p>
    <w:p w14:paraId="363A156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对外关系的演变</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行政区划的变迁</w:t>
      </w:r>
    </w:p>
    <w:p w14:paraId="32D6003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传统节日的魅力</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绘画技巧的成熟</w:t>
      </w:r>
    </w:p>
    <w:p w14:paraId="1FAA613C">
      <w:pPr>
        <w:widowControl w:val="0"/>
        <w:spacing w:before="0" w:after="0" w:line="360" w:lineRule="auto"/>
        <w:rPr>
          <w:sz w:val="21"/>
          <w:szCs w:val="21"/>
        </w:rPr>
      </w:pPr>
      <w:r>
        <w:rPr>
          <w:sz w:val="21"/>
          <w:szCs w:val="21"/>
        </w:rPr>
        <w:t xml:space="preserve">7. </w:t>
      </w:r>
      <w:r>
        <w:rPr>
          <w:rFonts w:ascii="宋体" w:hAnsi="宋体" w:eastAsia="宋体" w:cs="宋体"/>
          <w:sz w:val="21"/>
          <w:szCs w:val="21"/>
        </w:rPr>
        <w:t>北宋时，南方主食以稻米为主，北方以面食为主；南宋时，南方的面食店日益增加。该变化产生的主要因素是（</w:t>
      </w:r>
      <w:r>
        <w:rPr>
          <w:sz w:val="21"/>
          <w:szCs w:val="21"/>
        </w:rPr>
        <w:t xml:space="preserve">   </w:t>
      </w:r>
      <w:r>
        <w:rPr>
          <w:rFonts w:ascii="宋体" w:hAnsi="宋体" w:eastAsia="宋体" w:cs="宋体"/>
          <w:sz w:val="21"/>
          <w:szCs w:val="21"/>
        </w:rPr>
        <w:t>）</w:t>
      </w:r>
    </w:p>
    <w:p w14:paraId="2B660A2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温度差异</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土壤条件</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生活水平</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人口迁移</w:t>
      </w:r>
    </w:p>
    <w:p w14:paraId="6D17BE0B">
      <w:pPr>
        <w:widowControl w:val="0"/>
        <w:spacing w:before="0" w:after="0" w:line="360" w:lineRule="auto"/>
        <w:rPr>
          <w:sz w:val="21"/>
          <w:szCs w:val="21"/>
        </w:rPr>
      </w:pPr>
      <w:r>
        <w:rPr>
          <w:sz w:val="21"/>
          <w:szCs w:val="21"/>
        </w:rPr>
        <w:t xml:space="preserve">8. </w:t>
      </w:r>
      <w:r>
        <w:rPr>
          <w:rFonts w:ascii="宋体" w:hAnsi="宋体" w:eastAsia="宋体" w:cs="宋体"/>
          <w:sz w:val="21"/>
          <w:szCs w:val="21"/>
        </w:rPr>
        <w:t>史书记载，“契丹小儿初读书，先以俗语颠倒其文句而习之”，如“鸟宿池边树，僧敲月下门”，契丹儿童便念成“月明里和尚门子打，水底里树上老鸦坐”。这反映出当时的（</w:t>
      </w:r>
      <w:r>
        <w:rPr>
          <w:sz w:val="21"/>
          <w:szCs w:val="21"/>
        </w:rPr>
        <w:t xml:space="preserve">   </w:t>
      </w:r>
      <w:r>
        <w:rPr>
          <w:rFonts w:ascii="宋体" w:hAnsi="宋体" w:eastAsia="宋体" w:cs="宋体"/>
          <w:sz w:val="21"/>
          <w:szCs w:val="21"/>
        </w:rPr>
        <w:t>）</w:t>
      </w:r>
    </w:p>
    <w:p w14:paraId="0FB8E37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重文轻武</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宋辽和战</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政权更迭</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民族交融</w:t>
      </w:r>
    </w:p>
    <w:p w14:paraId="48824219">
      <w:pPr>
        <w:widowControl w:val="0"/>
        <w:spacing w:before="0" w:after="0" w:line="360" w:lineRule="auto"/>
        <w:rPr>
          <w:sz w:val="21"/>
          <w:szCs w:val="21"/>
        </w:rPr>
      </w:pPr>
      <w:r>
        <w:rPr>
          <w:sz w:val="21"/>
          <w:szCs w:val="21"/>
        </w:rPr>
        <w:t xml:space="preserve">9. </w:t>
      </w:r>
      <w:r>
        <w:rPr>
          <w:rFonts w:ascii="宋体" w:hAnsi="宋体" w:eastAsia="宋体" w:cs="宋体"/>
          <w:sz w:val="21"/>
          <w:szCs w:val="21"/>
        </w:rPr>
        <w:t>《元史·百官志》记载，由宣政院掌管西藏军民事务。该事件开启了中央政府对西藏正式行使行政管辖。据此推断，下列机构在地区管辖上也起到类似影响的是（</w:t>
      </w:r>
      <w:r>
        <w:rPr>
          <w:sz w:val="21"/>
          <w:szCs w:val="21"/>
        </w:rPr>
        <w:t xml:space="preserve">   </w:t>
      </w:r>
      <w:r>
        <w:rPr>
          <w:rFonts w:ascii="宋体" w:hAnsi="宋体" w:eastAsia="宋体" w:cs="宋体"/>
          <w:sz w:val="21"/>
          <w:szCs w:val="21"/>
        </w:rPr>
        <w:t>）</w:t>
      </w:r>
    </w:p>
    <w:p w14:paraId="322C61B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吏部</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刺史</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澎湖巡检司</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枢密院</w:t>
      </w:r>
    </w:p>
    <w:p w14:paraId="2818E5D5">
      <w:pPr>
        <w:widowControl w:val="0"/>
        <w:spacing w:before="0" w:after="0" w:line="360" w:lineRule="auto"/>
        <w:rPr>
          <w:sz w:val="21"/>
          <w:szCs w:val="21"/>
        </w:rPr>
      </w:pPr>
      <w:r>
        <w:rPr>
          <w:sz w:val="21"/>
          <w:szCs w:val="21"/>
        </w:rPr>
        <w:t xml:space="preserve">10. </w:t>
      </w:r>
      <w:r>
        <w:rPr>
          <w:rFonts w:ascii="宋体" w:hAnsi="宋体" w:eastAsia="宋体" w:cs="宋体"/>
          <w:sz w:val="21"/>
          <w:szCs w:val="21"/>
        </w:rPr>
        <w:t>明朝在户部设置太仓库，“专备三边军饷”，与皇室的内库有别。明神宗时，皇室的日用、婚丧等花费远超以往，皇帝“数取太仓银入内库”。这导致明朝（</w:t>
      </w:r>
      <w:r>
        <w:rPr>
          <w:sz w:val="21"/>
          <w:szCs w:val="21"/>
        </w:rPr>
        <w:t xml:space="preserve">   </w:t>
      </w:r>
      <w:r>
        <w:rPr>
          <w:rFonts w:ascii="宋体" w:hAnsi="宋体" w:eastAsia="宋体" w:cs="宋体"/>
          <w:sz w:val="21"/>
          <w:szCs w:val="21"/>
        </w:rPr>
        <w:t>）</w:t>
      </w:r>
    </w:p>
    <w:p w14:paraId="3B2098F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物价不断飞涨</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与清军作战失利</w:t>
      </w:r>
    </w:p>
    <w:p w14:paraId="07D762D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官员职权范围缩小</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国家财政体制被破坏</w:t>
      </w:r>
    </w:p>
    <w:p w14:paraId="72466C57">
      <w:pPr>
        <w:widowControl w:val="0"/>
        <w:spacing w:before="0" w:after="0" w:line="360" w:lineRule="auto"/>
        <w:rPr>
          <w:sz w:val="21"/>
          <w:szCs w:val="21"/>
        </w:rPr>
      </w:pPr>
      <w:r>
        <w:rPr>
          <w:sz w:val="21"/>
          <w:szCs w:val="21"/>
        </w:rPr>
        <w:t xml:space="preserve">11. </w:t>
      </w:r>
      <w:r>
        <w:rPr>
          <w:rFonts w:ascii="宋体" w:hAnsi="宋体" w:eastAsia="宋体" w:cs="宋体"/>
          <w:sz w:val="21"/>
          <w:szCs w:val="21"/>
        </w:rPr>
        <w:t>下图体现的是（</w:t>
      </w:r>
      <w:r>
        <w:rPr>
          <w:sz w:val="21"/>
          <w:szCs w:val="21"/>
        </w:rPr>
        <w:t xml:space="preserve">   </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31" name="图片 100031"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page number 1"/>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250B8E0A">
      <w:pPr>
        <w:sectPr>
          <w:headerReference r:id="rId9" w:type="default"/>
          <w:type w:val="continuous"/>
          <w:pgSz w:w="11927" w:h="16875"/>
          <w:pgMar w:top="800" w:right="1120" w:bottom="540" w:left="1120" w:header="708" w:footer="708" w:gutter="0"/>
          <w:cols w:space="708" w:num="1"/>
          <w:docGrid w:linePitch="360" w:charSpace="0"/>
        </w:sectPr>
      </w:pPr>
    </w:p>
    <w:p w14:paraId="524810A1">
      <w:pPr>
        <w:widowControl w:val="0"/>
        <w:spacing w:before="0" w:after="0" w:line="360" w:lineRule="auto"/>
        <w:rPr>
          <w:sz w:val="21"/>
          <w:szCs w:val="21"/>
        </w:rPr>
      </w:pPr>
      <w:r>
        <w:rPr>
          <w:strike w:val="0"/>
          <w:sz w:val="21"/>
          <w:szCs w:val="21"/>
          <w:u w:val="none"/>
        </w:rPr>
        <w:drawing>
          <wp:inline distT="0" distB="0" distL="114300" distR="114300">
            <wp:extent cx="3429000" cy="262890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429000" cy="2628900"/>
                    </a:xfrm>
                    <a:prstGeom prst="rect">
                      <a:avLst/>
                    </a:prstGeom>
                  </pic:spPr>
                </pic:pic>
              </a:graphicData>
            </a:graphic>
          </wp:inline>
        </w:drawing>
      </w:r>
    </w:p>
    <w:p w14:paraId="408BA16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鸦片战争</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第二次鸦片战争</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甲午中日战争</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八国联军侵华战争</w:t>
      </w:r>
    </w:p>
    <w:p w14:paraId="11F6BEA8">
      <w:pPr>
        <w:widowControl w:val="0"/>
        <w:spacing w:before="0" w:after="0" w:line="360" w:lineRule="auto"/>
        <w:rPr>
          <w:sz w:val="21"/>
          <w:szCs w:val="21"/>
        </w:rPr>
      </w:pPr>
      <w:r>
        <w:rPr>
          <w:sz w:val="21"/>
          <w:szCs w:val="21"/>
        </w:rPr>
        <w:t xml:space="preserve">12. </w:t>
      </w:r>
      <w:r>
        <w:rPr>
          <w:rFonts w:ascii="宋体" w:hAnsi="宋体" w:eastAsia="宋体" w:cs="宋体"/>
          <w:sz w:val="21"/>
          <w:szCs w:val="21"/>
        </w:rPr>
        <w:t>“白话的传播遍于全国，与</w:t>
      </w:r>
      <w:r>
        <w:rPr>
          <w:sz w:val="21"/>
          <w:szCs w:val="21"/>
        </w:rPr>
        <w:t>1919</w:t>
      </w:r>
      <w:r>
        <w:rPr>
          <w:rFonts w:ascii="宋体" w:hAnsi="宋体" w:eastAsia="宋体" w:cs="宋体"/>
          <w:sz w:val="21"/>
          <w:szCs w:val="21"/>
        </w:rPr>
        <w:t>年的学生运动大有关系”，因为此后“各地的学生团体很快办起了约四百种白话报刊”。这表明（</w:t>
      </w:r>
      <w:r>
        <w:rPr>
          <w:sz w:val="21"/>
          <w:szCs w:val="21"/>
        </w:rPr>
        <w:t xml:space="preserve">   </w:t>
      </w:r>
      <w:r>
        <w:rPr>
          <w:rFonts w:ascii="宋体" w:hAnsi="宋体" w:eastAsia="宋体" w:cs="宋体"/>
          <w:sz w:val="21"/>
          <w:szCs w:val="21"/>
        </w:rPr>
        <w:t>）</w:t>
      </w:r>
    </w:p>
    <w:p w14:paraId="4CD28AF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戊戌变法促进思想解放</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君主专制制度已终结</w:t>
      </w:r>
    </w:p>
    <w:p w14:paraId="69A8A24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五四运动助推文学革命</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封建礼教被全面推翻</w:t>
      </w:r>
    </w:p>
    <w:p w14:paraId="0C96E9D8">
      <w:pPr>
        <w:widowControl w:val="0"/>
        <w:spacing w:before="0" w:after="0" w:line="360" w:lineRule="auto"/>
        <w:rPr>
          <w:sz w:val="21"/>
          <w:szCs w:val="21"/>
        </w:rPr>
      </w:pPr>
      <w:r>
        <w:rPr>
          <w:sz w:val="21"/>
          <w:szCs w:val="21"/>
        </w:rPr>
        <w:t>13. 1924</w:t>
      </w:r>
      <w:r>
        <w:rPr>
          <w:rFonts w:ascii="宋体" w:hAnsi="宋体" w:eastAsia="宋体" w:cs="宋体"/>
          <w:sz w:val="21"/>
          <w:szCs w:val="21"/>
        </w:rPr>
        <w:t>年的《真正革命歌》写道：“真正革命党人应该加入国民军，要铲除军阀，与帝国主义死拼。我是国民军，我是国民军，打仗为救老百姓。”这表明了（</w:t>
      </w:r>
      <w:r>
        <w:rPr>
          <w:sz w:val="21"/>
          <w:szCs w:val="21"/>
        </w:rPr>
        <w:t xml:space="preserve">   </w:t>
      </w:r>
      <w:r>
        <w:rPr>
          <w:rFonts w:ascii="宋体" w:hAnsi="宋体" w:eastAsia="宋体" w:cs="宋体"/>
          <w:sz w:val="21"/>
          <w:szCs w:val="21"/>
        </w:rPr>
        <w:t>）</w:t>
      </w:r>
    </w:p>
    <w:p w14:paraId="750C8B3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作者</w:t>
      </w:r>
      <w:r>
        <w:rPr>
          <w:strike w:val="0"/>
          <w:sz w:val="21"/>
          <w:szCs w:val="21"/>
          <w:u w:val="none"/>
        </w:rPr>
        <w:drawing>
          <wp:inline distT="0" distB="0" distL="114300" distR="114300">
            <wp:extent cx="133350" cy="180975"/>
            <wp:effectExtent l="0" t="0" r="0" b="889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4"/>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反帝反封建理念</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军事歌曲的大范围流传</w:t>
      </w:r>
    </w:p>
    <w:p w14:paraId="1C4457C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北伐取得辉煌战果</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群众积极参加革命</w:t>
      </w:r>
    </w:p>
    <w:p w14:paraId="4A780C33">
      <w:pPr>
        <w:widowControl w:val="0"/>
        <w:spacing w:before="0" w:after="0" w:line="360" w:lineRule="auto"/>
        <w:rPr>
          <w:sz w:val="21"/>
          <w:szCs w:val="21"/>
        </w:rPr>
      </w:pPr>
      <w:r>
        <w:rPr>
          <w:sz w:val="21"/>
          <w:szCs w:val="21"/>
        </w:rPr>
        <w:t xml:space="preserve">14. </w:t>
      </w:r>
      <w:r>
        <w:rPr>
          <w:rFonts w:ascii="宋体" w:hAnsi="宋体" w:eastAsia="宋体" w:cs="宋体"/>
          <w:sz w:val="21"/>
          <w:szCs w:val="21"/>
        </w:rPr>
        <w:t>由于秋收起义作战失利，一些意志不坚定的人背弃了革命，为此毛泽东亲自撰写了党的历史上第一份入党誓词：“牺牲个人，努力革命，阶级斗争，服从组织，严守秘密，永不叛党。”这体现的精神是（</w:t>
      </w:r>
      <w:r>
        <w:rPr>
          <w:sz w:val="21"/>
          <w:szCs w:val="21"/>
        </w:rPr>
        <w:t xml:space="preserve">   </w:t>
      </w:r>
      <w:r>
        <w:rPr>
          <w:rFonts w:ascii="宋体" w:hAnsi="宋体" w:eastAsia="宋体" w:cs="宋体"/>
          <w:sz w:val="21"/>
          <w:szCs w:val="21"/>
        </w:rPr>
        <w:t>）</w:t>
      </w:r>
    </w:p>
    <w:p w14:paraId="4375BD8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对党忠诚、不负人民</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解放思想、实事求是</w:t>
      </w:r>
    </w:p>
    <w:p w14:paraId="0A8452F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举国同心、尊重科学</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精准务实、开拓创新</w:t>
      </w:r>
    </w:p>
    <w:p w14:paraId="5DAE99C5">
      <w:pPr>
        <w:widowControl w:val="0"/>
        <w:spacing w:before="0" w:after="0" w:line="360" w:lineRule="auto"/>
        <w:rPr>
          <w:sz w:val="21"/>
          <w:szCs w:val="21"/>
        </w:rPr>
      </w:pPr>
      <w:r>
        <w:rPr>
          <w:sz w:val="21"/>
          <w:szCs w:val="21"/>
        </w:rPr>
        <w:t xml:space="preserve">15. </w:t>
      </w:r>
      <w:r>
        <w:rPr>
          <w:rFonts w:ascii="宋体" w:hAnsi="宋体" w:eastAsia="宋体" w:cs="宋体"/>
          <w:sz w:val="21"/>
          <w:szCs w:val="21"/>
        </w:rPr>
        <w:t>魏巍在《火线春节夜》中写道：“有人指着自己的一缸子白雪，几片肉，一块朝鲜打糕，还有早晨剩下的米饭说‘你看，这还不是好几个菜吗！这年过得蛮不坏哩！’”这体现了志愿军的（</w:t>
      </w:r>
      <w:r>
        <w:rPr>
          <w:sz w:val="21"/>
          <w:szCs w:val="21"/>
        </w:rPr>
        <w:t xml:space="preserve">   </w:t>
      </w:r>
      <w:r>
        <w:rPr>
          <w:rFonts w:ascii="宋体" w:hAnsi="宋体" w:eastAsia="宋体" w:cs="宋体"/>
          <w:sz w:val="21"/>
          <w:szCs w:val="21"/>
        </w:rPr>
        <w:t>）</w:t>
      </w:r>
    </w:p>
    <w:p w14:paraId="7F0CF82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严明纪律观念</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武器装备精良</w:t>
      </w:r>
    </w:p>
    <w:p w14:paraId="2B2F3D4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革命乐观主义</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业余生活丰富</w:t>
      </w:r>
    </w:p>
    <w:p w14:paraId="14A8FD1D">
      <w:pPr>
        <w:widowControl w:val="0"/>
        <w:spacing w:before="0" w:after="0" w:line="360" w:lineRule="auto"/>
        <w:rPr>
          <w:sz w:val="21"/>
          <w:szCs w:val="21"/>
        </w:rPr>
      </w:pPr>
      <w:r>
        <w:rPr>
          <w:sz w:val="21"/>
          <w:szCs w:val="21"/>
        </w:rPr>
        <w:t xml:space="preserve">16. </w:t>
      </w:r>
      <w:r>
        <w:rPr>
          <w:rFonts w:ascii="宋体" w:hAnsi="宋体" w:eastAsia="宋体" w:cs="宋体"/>
          <w:sz w:val="21"/>
          <w:szCs w:val="21"/>
        </w:rPr>
        <w:t>在执行国家法定节假日基础上，某自治州政府安排自治州成立纪念日放假</w:t>
      </w:r>
      <w:r>
        <w:rPr>
          <w:sz w:val="21"/>
          <w:szCs w:val="21"/>
        </w:rPr>
        <w:t>2</w:t>
      </w:r>
      <w:r>
        <w:rPr>
          <w:rFonts w:ascii="宋体" w:hAnsi="宋体" w:eastAsia="宋体" w:cs="宋体"/>
          <w:sz w:val="21"/>
          <w:szCs w:val="21"/>
        </w:rPr>
        <w:t>天，民族节日放假</w:t>
      </w:r>
      <w:r>
        <w:rPr>
          <w:sz w:val="21"/>
          <w:szCs w:val="21"/>
        </w:rPr>
        <w:t>7</w:t>
      </w:r>
      <w:r>
        <w:rPr>
          <w:rFonts w:ascii="宋体" w:hAnsi="宋体" w:eastAsia="宋体" w:cs="宋体"/>
          <w:sz w:val="21"/>
          <w:szCs w:val="21"/>
        </w:rPr>
        <w:t>天。这体现的是（</w:t>
      </w:r>
      <w:r>
        <w:rPr>
          <w:sz w:val="21"/>
          <w:szCs w:val="21"/>
        </w:rPr>
        <w:t xml:space="preserve">   </w:t>
      </w:r>
      <w:r>
        <w:rPr>
          <w:rFonts w:ascii="宋体" w:hAnsi="宋体" w:eastAsia="宋体" w:cs="宋体"/>
          <w:sz w:val="21"/>
          <w:szCs w:val="21"/>
        </w:rPr>
        <w:t>）</w:t>
      </w:r>
    </w:p>
    <w:p w14:paraId="3C852B7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民族区域自治制度</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各地支援边疆开发</w:t>
      </w:r>
      <w:r>
        <w:rPr>
          <w:strike w:val="0"/>
          <w:sz w:val="21"/>
          <w:szCs w:val="21"/>
          <w:u w:val="none"/>
        </w:rPr>
        <w:drawing>
          <wp:inline distT="0" distB="0" distL="114300" distR="114300">
            <wp:extent cx="28575" cy="28575"/>
            <wp:effectExtent l="0" t="0" r="0" b="0"/>
            <wp:docPr id="100049" name="图片 100049"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page number 2"/>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206A233A">
      <w:pPr>
        <w:sectPr>
          <w:headerReference r:id="rId10" w:type="default"/>
          <w:type w:val="continuous"/>
          <w:pgSz w:w="11927" w:h="16875"/>
          <w:pgMar w:top="800" w:right="1120" w:bottom="540" w:left="1120" w:header="708" w:footer="708" w:gutter="0"/>
          <w:cols w:space="708" w:num="1"/>
          <w:docGrid w:linePitch="360" w:charSpace="0"/>
        </w:sectPr>
      </w:pPr>
    </w:p>
    <w:p w14:paraId="3AE706D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节日活动精彩纷呈</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旅游行业蓬勃发展</w:t>
      </w:r>
    </w:p>
    <w:p w14:paraId="1B62A01D">
      <w:pPr>
        <w:widowControl w:val="0"/>
        <w:spacing w:before="0" w:after="0" w:line="360" w:lineRule="auto"/>
        <w:rPr>
          <w:sz w:val="21"/>
          <w:szCs w:val="21"/>
        </w:rPr>
      </w:pPr>
      <w:r>
        <w:rPr>
          <w:sz w:val="21"/>
          <w:szCs w:val="21"/>
        </w:rPr>
        <w:t xml:space="preserve">17. </w:t>
      </w:r>
      <w:r>
        <w:rPr>
          <w:rFonts w:ascii="宋体" w:hAnsi="宋体" w:eastAsia="宋体" w:cs="宋体"/>
          <w:sz w:val="21"/>
          <w:szCs w:val="21"/>
        </w:rPr>
        <w:t>下表所示说明我国（</w:t>
      </w:r>
      <w:r>
        <w:rPr>
          <w:sz w:val="21"/>
          <w:szCs w:val="21"/>
        </w:rPr>
        <w:t xml:space="preserve">   </w:t>
      </w:r>
      <w:r>
        <w:rPr>
          <w:rFonts w:ascii="宋体" w:hAnsi="宋体" w:eastAsia="宋体" w:cs="宋体"/>
          <w:sz w:val="21"/>
          <w:szCs w:val="21"/>
        </w:rPr>
        <w:t>）</w:t>
      </w:r>
    </w:p>
    <w:p w14:paraId="5667CCDE">
      <w:pPr>
        <w:widowControl w:val="0"/>
        <w:spacing w:before="0" w:after="0" w:line="360" w:lineRule="auto"/>
        <w:jc w:val="both"/>
        <w:rPr>
          <w:sz w:val="21"/>
          <w:szCs w:val="21"/>
        </w:rPr>
      </w:pPr>
      <w:r>
        <w:rPr>
          <w:rFonts w:ascii="宋体" w:hAnsi="宋体" w:eastAsia="宋体" w:cs="宋体"/>
          <w:sz w:val="21"/>
          <w:szCs w:val="21"/>
        </w:rPr>
        <w:t>中国交通里程变化情况（部分）</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710"/>
        <w:gridCol w:w="913"/>
        <w:gridCol w:w="913"/>
      </w:tblGrid>
      <w:tr w14:paraId="22E0487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2E26EAA7">
            <w:pPr>
              <w:widowControl w:val="0"/>
              <w:spacing w:before="0" w:after="0" w:line="360" w:lineRule="auto"/>
              <w:jc w:val="right"/>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年份</w:t>
            </w:r>
          </w:p>
          <w:p w14:paraId="68A9ADFA">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里程（万公里）</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B8C6BD5">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1978</w:t>
            </w:r>
            <w:r>
              <w:rPr>
                <w:rFonts w:ascii="宋体" w:hAnsi="宋体" w:eastAsia="宋体" w:cs="宋体"/>
                <w:b w:val="0"/>
                <w:bCs w:val="0"/>
                <w:i w:val="0"/>
                <w:iCs w:val="0"/>
                <w:smallCaps w:val="0"/>
                <w:color w:val="000000"/>
                <w:sz w:val="21"/>
                <w:szCs w:val="21"/>
              </w:rPr>
              <w:t>年</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2223628A">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2023</w:t>
            </w:r>
            <w:r>
              <w:rPr>
                <w:rFonts w:ascii="宋体" w:hAnsi="宋体" w:eastAsia="宋体" w:cs="宋体"/>
                <w:b w:val="0"/>
                <w:bCs w:val="0"/>
                <w:i w:val="0"/>
                <w:iCs w:val="0"/>
                <w:smallCaps w:val="0"/>
                <w:color w:val="000000"/>
                <w:sz w:val="21"/>
                <w:szCs w:val="21"/>
              </w:rPr>
              <w:t>年</w:t>
            </w:r>
          </w:p>
        </w:tc>
      </w:tr>
      <w:tr w14:paraId="0C4C766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B042683">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公路</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2BE39EB">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89</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77C0F0A3">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525.7</w:t>
            </w:r>
          </w:p>
        </w:tc>
      </w:tr>
      <w:tr w14:paraId="110C77D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D6BBC4B">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高速公路</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F8602CC">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0</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62DDABCD">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18.4</w:t>
            </w:r>
          </w:p>
        </w:tc>
      </w:tr>
      <w:tr w14:paraId="281FC7F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90C8BB2">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铁路</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3E9076B">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5.17</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34F5ED8">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15.9</w:t>
            </w:r>
          </w:p>
        </w:tc>
      </w:tr>
      <w:tr w14:paraId="38D3FC0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31E736DD">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高速铁路</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0373AFEB">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0</w:t>
            </w:r>
          </w:p>
        </w:tc>
        <w:tc>
          <w:tcPr>
            <w:tcBorders>
              <w:top w:val="single" w:color="000000" w:sz="6" w:space="0"/>
              <w:left w:val="single" w:color="000000" w:sz="6" w:space="0"/>
            </w:tcBorders>
            <w:noWrap w:val="0"/>
            <w:tcMar>
              <w:top w:w="76" w:type="dxa"/>
              <w:left w:w="120" w:type="dxa"/>
              <w:bottom w:w="76" w:type="dxa"/>
              <w:right w:w="120" w:type="dxa"/>
            </w:tcMar>
            <w:vAlign w:val="center"/>
          </w:tcPr>
          <w:p w14:paraId="021A3163">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4.5</w:t>
            </w:r>
          </w:p>
        </w:tc>
      </w:tr>
    </w:tbl>
    <w:p w14:paraId="352E66B8">
      <w:pPr>
        <w:widowControl w:val="0"/>
        <w:spacing w:before="0" w:after="0" w:line="360" w:lineRule="auto"/>
        <w:rPr>
          <w:sz w:val="21"/>
          <w:szCs w:val="21"/>
        </w:rPr>
      </w:pPr>
    </w:p>
    <w:p w14:paraId="065D1D6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国防科技日新月异</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交通建设飞速发展</w:t>
      </w:r>
    </w:p>
    <w:p w14:paraId="2064B11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消费结构不断优化</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工业体系已现雏形</w:t>
      </w:r>
    </w:p>
    <w:p w14:paraId="43EB9BA2">
      <w:pPr>
        <w:widowControl w:val="0"/>
        <w:spacing w:before="0" w:after="0" w:line="360" w:lineRule="auto"/>
        <w:rPr>
          <w:sz w:val="21"/>
          <w:szCs w:val="21"/>
        </w:rPr>
      </w:pPr>
      <w:r>
        <w:rPr>
          <w:sz w:val="21"/>
          <w:szCs w:val="21"/>
        </w:rPr>
        <w:t xml:space="preserve">18. </w:t>
      </w:r>
      <w:r>
        <w:rPr>
          <w:rFonts w:ascii="宋体" w:hAnsi="宋体" w:eastAsia="宋体" w:cs="宋体"/>
          <w:sz w:val="21"/>
          <w:szCs w:val="21"/>
        </w:rPr>
        <w:t>在数千年的时间里，为建造数量众多、工程浩大的金字塔，法老对劳动力、财政和建筑技术的控制达到令人惊讶的地步。这反映了古埃及（</w:t>
      </w:r>
      <w:r>
        <w:rPr>
          <w:sz w:val="21"/>
          <w:szCs w:val="21"/>
        </w:rPr>
        <w:t xml:space="preserve">   </w:t>
      </w:r>
      <w:r>
        <w:rPr>
          <w:rFonts w:ascii="宋体" w:hAnsi="宋体" w:eastAsia="宋体" w:cs="宋体"/>
          <w:sz w:val="21"/>
          <w:szCs w:val="21"/>
        </w:rPr>
        <w:t>）</w:t>
      </w:r>
    </w:p>
    <w:p w14:paraId="4561ED4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国王权力至上</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法律体系完备</w:t>
      </w:r>
    </w:p>
    <w:p w14:paraId="0E9592F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军事实力强大</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医学成就辉煌</w:t>
      </w:r>
    </w:p>
    <w:p w14:paraId="11B57A00">
      <w:pPr>
        <w:widowControl w:val="0"/>
        <w:spacing w:before="0" w:after="0" w:line="360" w:lineRule="auto"/>
        <w:rPr>
          <w:sz w:val="21"/>
          <w:szCs w:val="21"/>
        </w:rPr>
      </w:pPr>
      <w:r>
        <w:rPr>
          <w:sz w:val="21"/>
          <w:szCs w:val="21"/>
        </w:rPr>
        <w:t xml:space="preserve">19. </w:t>
      </w:r>
      <w:r>
        <w:rPr>
          <w:rFonts w:ascii="宋体" w:hAnsi="宋体" w:eastAsia="宋体" w:cs="宋体"/>
          <w:sz w:val="21"/>
          <w:szCs w:val="21"/>
        </w:rPr>
        <w:t>亚历山大及其继承者在东方的土地上建立了众多的城市，“东西方在这一时期频繁互动和深度融合”。能为此提供直接证据的是（</w:t>
      </w:r>
      <w:r>
        <w:rPr>
          <w:sz w:val="21"/>
          <w:szCs w:val="21"/>
        </w:rPr>
        <w:t xml:space="preserve">   </w:t>
      </w:r>
      <w:r>
        <w:rPr>
          <w:rFonts w:ascii="宋体" w:hAnsi="宋体" w:eastAsia="宋体" w:cs="宋体"/>
          <w:sz w:val="21"/>
          <w:szCs w:val="21"/>
        </w:rPr>
        <w:t>）</w:t>
      </w:r>
    </w:p>
    <w:p w14:paraId="198ACDC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刻有希腊式长袍</w:t>
      </w:r>
      <w:r>
        <w:rPr>
          <w:strike w:val="0"/>
          <w:sz w:val="21"/>
          <w:szCs w:val="21"/>
          <w:u w:val="none"/>
        </w:rPr>
        <w:drawing>
          <wp:inline distT="0" distB="0" distL="114300" distR="114300">
            <wp:extent cx="133350" cy="180975"/>
            <wp:effectExtent l="0" t="0" r="0" b="889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24"/>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印度佛像</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位于日本奈良的唐招提寺</w:t>
      </w:r>
    </w:p>
    <w:p w14:paraId="0B2532D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应用于航海的指南针</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传入中国的马铃薯</w:t>
      </w:r>
    </w:p>
    <w:p w14:paraId="69130CA9">
      <w:pPr>
        <w:widowControl w:val="0"/>
        <w:spacing w:before="0" w:after="0" w:line="360" w:lineRule="auto"/>
        <w:rPr>
          <w:sz w:val="21"/>
          <w:szCs w:val="21"/>
        </w:rPr>
      </w:pPr>
      <w:r>
        <w:rPr>
          <w:sz w:val="21"/>
          <w:szCs w:val="21"/>
        </w:rPr>
        <w:t xml:space="preserve">20. </w:t>
      </w:r>
      <w:r>
        <w:rPr>
          <w:rFonts w:ascii="宋体" w:hAnsi="宋体" w:eastAsia="宋体" w:cs="宋体"/>
          <w:sz w:val="21"/>
          <w:szCs w:val="21"/>
        </w:rPr>
        <w:t>非洲东部毛里求斯岛上的渡渡鸟十分温驯且肥硕，欧洲人的出现，给岛上带来了猪和老鼠，使得渡渡鸟在地面的巢中下的蛋不断遭到毁坏，人们普遍认为渡渡鸟于</w:t>
      </w:r>
      <w:r>
        <w:rPr>
          <w:sz w:val="21"/>
          <w:szCs w:val="21"/>
        </w:rPr>
        <w:t>1681</w:t>
      </w:r>
      <w:r>
        <w:rPr>
          <w:rFonts w:ascii="宋体" w:hAnsi="宋体" w:eastAsia="宋体" w:cs="宋体"/>
          <w:sz w:val="21"/>
          <w:szCs w:val="21"/>
        </w:rPr>
        <w:t>年灭绝。该现象源于（</w:t>
      </w:r>
      <w:r>
        <w:rPr>
          <w:sz w:val="21"/>
          <w:szCs w:val="21"/>
        </w:rPr>
        <w:t xml:space="preserve">   </w:t>
      </w:r>
      <w:r>
        <w:rPr>
          <w:rFonts w:ascii="宋体" w:hAnsi="宋体" w:eastAsia="宋体" w:cs="宋体"/>
          <w:sz w:val="21"/>
          <w:szCs w:val="21"/>
        </w:rPr>
        <w:t>）</w:t>
      </w:r>
    </w:p>
    <w:p w14:paraId="20EFEAB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20"/>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租地农场出现</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市民阶层兴起</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文艺复兴</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新航路开辟</w:t>
      </w:r>
    </w:p>
    <w:p w14:paraId="5612F9FC">
      <w:pPr>
        <w:widowControl w:val="0"/>
        <w:spacing w:before="0" w:after="0" w:line="360" w:lineRule="auto"/>
        <w:rPr>
          <w:sz w:val="21"/>
          <w:szCs w:val="21"/>
        </w:rPr>
      </w:pPr>
      <w:r>
        <w:rPr>
          <w:sz w:val="21"/>
          <w:szCs w:val="21"/>
        </w:rPr>
        <w:t xml:space="preserve">21. </w:t>
      </w:r>
      <w:r>
        <w:rPr>
          <w:rFonts w:ascii="宋体" w:hAnsi="宋体" w:eastAsia="宋体" w:cs="宋体"/>
          <w:sz w:val="21"/>
          <w:szCs w:val="21"/>
        </w:rPr>
        <w:t>历史课堂上，老师使用了下图，他应是在介绍（</w:t>
      </w:r>
      <w:r>
        <w:rPr>
          <w:sz w:val="21"/>
          <w:szCs w:val="21"/>
        </w:rPr>
        <w:t xml:space="preserve">   </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67" name="图片 100067"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page number 3"/>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632EA315">
      <w:pPr>
        <w:sectPr>
          <w:headerReference r:id="rId11" w:type="default"/>
          <w:type w:val="continuous"/>
          <w:pgSz w:w="11927" w:h="16875"/>
          <w:pgMar w:top="800" w:right="1120" w:bottom="540" w:left="1120" w:header="708" w:footer="708" w:gutter="0"/>
          <w:cols w:space="708" w:num="1"/>
          <w:docGrid w:linePitch="360" w:charSpace="0"/>
        </w:sectPr>
      </w:pPr>
    </w:p>
    <w:p w14:paraId="6E2DBAE6">
      <w:pPr>
        <w:widowControl w:val="0"/>
        <w:spacing w:before="0" w:after="0" w:line="360" w:lineRule="auto"/>
        <w:rPr>
          <w:sz w:val="21"/>
          <w:szCs w:val="21"/>
        </w:rPr>
      </w:pPr>
      <w:r>
        <w:rPr>
          <w:strike w:val="0"/>
          <w:sz w:val="21"/>
          <w:szCs w:val="21"/>
          <w:u w:val="none"/>
        </w:rPr>
        <w:drawing>
          <wp:inline distT="0" distB="0" distL="114300" distR="114300">
            <wp:extent cx="2571750" cy="1543050"/>
            <wp:effectExtent l="0" t="0" r="0" b="0"/>
            <wp:docPr id="100081" name="图片 1000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571750" cy="1543050"/>
                    </a:xfrm>
                    <a:prstGeom prst="rect">
                      <a:avLst/>
                    </a:prstGeom>
                  </pic:spPr>
                </pic:pic>
              </a:graphicData>
            </a:graphic>
          </wp:inline>
        </w:drawing>
      </w:r>
    </w:p>
    <w:p w14:paraId="206CA865">
      <w:pPr>
        <w:widowControl w:val="0"/>
        <w:spacing w:before="0" w:after="0" w:line="360" w:lineRule="auto"/>
        <w:rPr>
          <w:sz w:val="21"/>
          <w:szCs w:val="21"/>
        </w:rPr>
      </w:pPr>
      <w:r>
        <w:rPr>
          <w:sz w:val="21"/>
          <w:szCs w:val="21"/>
        </w:rPr>
        <w:t xml:space="preserve">        </w:t>
      </w:r>
      <w:r>
        <w:rPr>
          <w:rFonts w:ascii="宋体" w:hAnsi="宋体" w:eastAsia="宋体" w:cs="宋体"/>
          <w:sz w:val="21"/>
          <w:szCs w:val="21"/>
        </w:rPr>
        <w:t>图</w:t>
      </w:r>
      <w:r>
        <w:rPr>
          <w:sz w:val="21"/>
          <w:szCs w:val="21"/>
        </w:rPr>
        <w:t xml:space="preserve"> </w:t>
      </w:r>
      <w:r>
        <w:rPr>
          <w:rFonts w:ascii="宋体" w:hAnsi="宋体" w:eastAsia="宋体" w:cs="宋体"/>
          <w:sz w:val="21"/>
          <w:szCs w:val="21"/>
        </w:rPr>
        <w:t>蹲踞式跳远的运动轨迹</w:t>
      </w:r>
    </w:p>
    <w:p w14:paraId="55F6B4F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牛顿的力学理论</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瓦特改良蒸汽机</w:t>
      </w:r>
    </w:p>
    <w:p w14:paraId="02C057D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达尔文的物种研究</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爱迪生发明电灯</w:t>
      </w:r>
    </w:p>
    <w:p w14:paraId="1319DCED">
      <w:pPr>
        <w:widowControl w:val="0"/>
        <w:spacing w:before="0" w:after="0" w:line="360" w:lineRule="auto"/>
        <w:rPr>
          <w:sz w:val="21"/>
          <w:szCs w:val="21"/>
        </w:rPr>
      </w:pPr>
      <w:r>
        <w:rPr>
          <w:sz w:val="21"/>
          <w:szCs w:val="21"/>
        </w:rPr>
        <w:t xml:space="preserve">22. </w:t>
      </w:r>
      <w:r>
        <w:rPr>
          <w:rFonts w:ascii="宋体" w:hAnsi="宋体" w:eastAsia="宋体" w:cs="宋体"/>
          <w:sz w:val="21"/>
          <w:szCs w:val="21"/>
        </w:rPr>
        <w:t>“</w:t>
      </w:r>
      <w:r>
        <w:rPr>
          <w:sz w:val="21"/>
          <w:szCs w:val="21"/>
        </w:rPr>
        <w:t>1688</w:t>
      </w:r>
      <w:r>
        <w:rPr>
          <w:rFonts w:ascii="宋体" w:hAnsi="宋体" w:eastAsia="宋体" w:cs="宋体"/>
          <w:sz w:val="21"/>
          <w:szCs w:val="21"/>
        </w:rPr>
        <w:t>年造成的巨大变化是一场真正的革命”，首先是威廉和玛丽，接着是玛丽的妹妹安妮，他们的继位都是由上下两院决定的。这反映了当时英国（</w:t>
      </w:r>
      <w:r>
        <w:rPr>
          <w:sz w:val="21"/>
          <w:szCs w:val="21"/>
        </w:rPr>
        <w:t xml:space="preserve">   </w:t>
      </w:r>
      <w:r>
        <w:rPr>
          <w:rFonts w:ascii="宋体" w:hAnsi="宋体" w:eastAsia="宋体" w:cs="宋体"/>
          <w:sz w:val="21"/>
          <w:szCs w:val="21"/>
        </w:rPr>
        <w:t>）</w:t>
      </w:r>
    </w:p>
    <w:p w14:paraId="5ADCBED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民众获得完全平等</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女性拥有崇高社会地位</w:t>
      </w:r>
    </w:p>
    <w:p w14:paraId="5B9D6BC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贵族维护封建专制</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议会权力日益超过国王</w:t>
      </w:r>
    </w:p>
    <w:p w14:paraId="25A93B54">
      <w:pPr>
        <w:widowControl w:val="0"/>
        <w:spacing w:before="0" w:after="0" w:line="360" w:lineRule="auto"/>
        <w:rPr>
          <w:sz w:val="21"/>
          <w:szCs w:val="21"/>
        </w:rPr>
      </w:pPr>
      <w:r>
        <w:rPr>
          <w:sz w:val="21"/>
          <w:szCs w:val="21"/>
        </w:rPr>
        <w:t xml:space="preserve">23. </w:t>
      </w:r>
      <w:r>
        <w:rPr>
          <w:rFonts w:ascii="宋体" w:hAnsi="宋体" w:eastAsia="宋体" w:cs="宋体"/>
          <w:sz w:val="21"/>
          <w:szCs w:val="21"/>
        </w:rPr>
        <w:t>《旧制度与大革命》中写道，正统保皇派会在这里看到一幅旧制度和王室的糟糕画像；革命家会看到一幅对革命的华丽外衣不感兴趣的画像；只有自由的朋友们爱读这本书。这表明作者认为，影响人们看待历史的因素是（</w:t>
      </w:r>
      <w:r>
        <w:rPr>
          <w:sz w:val="21"/>
          <w:szCs w:val="21"/>
        </w:rPr>
        <w:t xml:space="preserve">   </w:t>
      </w:r>
      <w:r>
        <w:rPr>
          <w:rFonts w:ascii="宋体" w:hAnsi="宋体" w:eastAsia="宋体" w:cs="宋体"/>
          <w:sz w:val="21"/>
          <w:szCs w:val="21"/>
        </w:rPr>
        <w:t>）</w:t>
      </w:r>
    </w:p>
    <w:p w14:paraId="71AE7C1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文化水平</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家庭出身</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自身立场</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审美观念</w:t>
      </w:r>
    </w:p>
    <w:p w14:paraId="0A7DA04C">
      <w:pPr>
        <w:widowControl w:val="0"/>
        <w:spacing w:before="0" w:after="0" w:line="360" w:lineRule="auto"/>
        <w:rPr>
          <w:sz w:val="21"/>
          <w:szCs w:val="21"/>
        </w:rPr>
      </w:pPr>
      <w:r>
        <w:rPr>
          <w:sz w:val="21"/>
          <w:szCs w:val="21"/>
        </w:rPr>
        <w:t>24. 1846</w:t>
      </w:r>
      <w:r>
        <w:rPr>
          <w:rFonts w:ascii="宋体" w:hAnsi="宋体" w:eastAsia="宋体" w:cs="宋体"/>
          <w:sz w:val="21"/>
          <w:szCs w:val="21"/>
        </w:rPr>
        <w:t>年，马克思、恩格斯建立了共产主义通讯委员会，与德国、法国等国的共产主义者和工人建立联系，共同讨论共产主义的宣传问题。这些活动（</w:t>
      </w:r>
      <w:r>
        <w:rPr>
          <w:sz w:val="21"/>
          <w:szCs w:val="21"/>
        </w:rPr>
        <w:t xml:space="preserve">   </w:t>
      </w:r>
      <w:r>
        <w:rPr>
          <w:rFonts w:ascii="宋体" w:hAnsi="宋体" w:eastAsia="宋体" w:cs="宋体"/>
          <w:sz w:val="21"/>
          <w:szCs w:val="21"/>
        </w:rPr>
        <w:t>）</w:t>
      </w:r>
    </w:p>
    <w:p w14:paraId="3C17A5F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指导了里昂工人起义</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促进革命理论的传播</w:t>
      </w:r>
    </w:p>
    <w:p w14:paraId="37F3B98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标志马克思主义诞生</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巩固了无产阶级政权</w:t>
      </w:r>
    </w:p>
    <w:p w14:paraId="74D12F63">
      <w:pPr>
        <w:widowControl w:val="0"/>
        <w:spacing w:before="0" w:after="0" w:line="360" w:lineRule="auto"/>
        <w:rPr>
          <w:sz w:val="21"/>
          <w:szCs w:val="21"/>
        </w:rPr>
      </w:pPr>
      <w:r>
        <w:rPr>
          <w:sz w:val="21"/>
          <w:szCs w:val="21"/>
        </w:rPr>
        <w:t xml:space="preserve">25. </w:t>
      </w:r>
      <w:r>
        <w:rPr>
          <w:rFonts w:ascii="宋体" w:hAnsi="宋体" w:eastAsia="宋体" w:cs="宋体"/>
          <w:sz w:val="21"/>
          <w:szCs w:val="21"/>
        </w:rPr>
        <w:t>“南部的领导人决定，禁止废奴主义者的著作在南部流传”，种族主义者“抢走了从北部流入的反奴隶制的报纸，并且在广场上当众把它们烧毁。此后，南部许多城市竞相效仿。”这可直接用于研究（</w:t>
      </w:r>
      <w:r>
        <w:rPr>
          <w:sz w:val="21"/>
          <w:szCs w:val="21"/>
        </w:rPr>
        <w:t xml:space="preserve">   </w:t>
      </w:r>
      <w:r>
        <w:rPr>
          <w:rFonts w:ascii="宋体" w:hAnsi="宋体" w:eastAsia="宋体" w:cs="宋体"/>
          <w:sz w:val="21"/>
          <w:szCs w:val="21"/>
        </w:rPr>
        <w:t>）</w:t>
      </w:r>
    </w:p>
    <w:p w14:paraId="405ED4F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拉美独立运动</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南北战争</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明治维新</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十月革命</w:t>
      </w:r>
    </w:p>
    <w:p w14:paraId="505A67F5">
      <w:pPr>
        <w:widowControl w:val="0"/>
        <w:spacing w:before="0" w:after="0" w:line="360" w:lineRule="auto"/>
        <w:rPr>
          <w:sz w:val="21"/>
          <w:szCs w:val="21"/>
        </w:rPr>
      </w:pPr>
      <w:r>
        <w:rPr>
          <w:sz w:val="21"/>
          <w:szCs w:val="21"/>
        </w:rPr>
        <w:t xml:space="preserve">26. </w:t>
      </w:r>
      <w:r>
        <w:rPr>
          <w:rFonts w:ascii="宋体" w:hAnsi="宋体" w:eastAsia="宋体" w:cs="宋体"/>
          <w:sz w:val="21"/>
          <w:szCs w:val="21"/>
        </w:rPr>
        <w:t>某一时期，苏俄私人工厂生产的多是农具、家具、衣物等用品用具和食盐、面包等食品，商业经营多围绕这些产品进行。这主要得益于（</w:t>
      </w:r>
      <w:r>
        <w:rPr>
          <w:sz w:val="21"/>
          <w:szCs w:val="21"/>
        </w:rPr>
        <w:t xml:space="preserve">   </w:t>
      </w:r>
      <w:r>
        <w:rPr>
          <w:rFonts w:ascii="宋体" w:hAnsi="宋体" w:eastAsia="宋体" w:cs="宋体"/>
          <w:sz w:val="21"/>
          <w:szCs w:val="21"/>
        </w:rPr>
        <w:t>）</w:t>
      </w:r>
    </w:p>
    <w:p w14:paraId="7ECE771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战时共产主义政策</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新经济政策</w:t>
      </w:r>
    </w:p>
    <w:p w14:paraId="11F7C66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社会主义工业化</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农业集体化</w:t>
      </w:r>
    </w:p>
    <w:p w14:paraId="5D6396CB">
      <w:pPr>
        <w:widowControl w:val="0"/>
        <w:spacing w:before="0" w:after="0" w:line="360" w:lineRule="auto"/>
        <w:rPr>
          <w:sz w:val="21"/>
          <w:szCs w:val="21"/>
        </w:rPr>
      </w:pPr>
      <w:r>
        <w:rPr>
          <w:sz w:val="21"/>
          <w:szCs w:val="21"/>
        </w:rPr>
        <w:t xml:space="preserve">27. </w:t>
      </w:r>
      <w:r>
        <w:rPr>
          <w:rFonts w:ascii="宋体" w:hAnsi="宋体" w:eastAsia="宋体" w:cs="宋体"/>
          <w:sz w:val="21"/>
          <w:szCs w:val="21"/>
        </w:rPr>
        <w:t>为防止德国受苏联的渗透和影响，</w:t>
      </w:r>
      <w:r>
        <w:rPr>
          <w:sz w:val="21"/>
          <w:szCs w:val="21"/>
        </w:rPr>
        <w:t>1946</w:t>
      </w:r>
      <w:r>
        <w:rPr>
          <w:rFonts w:ascii="宋体" w:hAnsi="宋体" w:eastAsia="宋体" w:cs="宋体"/>
          <w:sz w:val="21"/>
          <w:szCs w:val="21"/>
        </w:rPr>
        <w:t>年，美国国务卿声称“除了原子弹以外，德国连同它拥有的各种潜力，也是一个巨大的力量，在任何情况下都不应该放弃它。”这体现了美国（</w:t>
      </w:r>
      <w:r>
        <w:rPr>
          <w:sz w:val="21"/>
          <w:szCs w:val="21"/>
        </w:rPr>
        <w:t xml:space="preserve">   </w:t>
      </w:r>
      <w:r>
        <w:rPr>
          <w:rFonts w:ascii="宋体" w:hAnsi="宋体" w:eastAsia="宋体" w:cs="宋体"/>
          <w:sz w:val="21"/>
          <w:szCs w:val="21"/>
        </w:rPr>
        <w:t>）</w:t>
      </w:r>
    </w:p>
    <w:p w14:paraId="2DDF1D5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研发原子弹的需要</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国家干预政策</w:t>
      </w:r>
      <w:r>
        <w:rPr>
          <w:strike w:val="0"/>
          <w:sz w:val="21"/>
          <w:szCs w:val="21"/>
          <w:u w:val="none"/>
        </w:rPr>
        <w:drawing>
          <wp:inline distT="0" distB="0" distL="114300" distR="114300">
            <wp:extent cx="28575" cy="28575"/>
            <wp:effectExtent l="0" t="0" r="0" b="0"/>
            <wp:docPr id="100083" name="图片 100083"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descr="page number 4"/>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5D13729B">
      <w:pPr>
        <w:sectPr>
          <w:headerReference r:id="rId12" w:type="default"/>
          <w:type w:val="continuous"/>
          <w:pgSz w:w="11927" w:h="16875"/>
          <w:pgMar w:top="800" w:right="1120" w:bottom="540" w:left="1120" w:header="708" w:footer="708" w:gutter="0"/>
          <w:cols w:space="708" w:num="1"/>
          <w:docGrid w:linePitch="360" w:charSpace="0"/>
        </w:sectPr>
      </w:pPr>
    </w:p>
    <w:p w14:paraId="4CB1B5D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贸易保护主义盛行</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称霸企图明显</w:t>
      </w:r>
    </w:p>
    <w:p w14:paraId="1B53C3A7">
      <w:pPr>
        <w:widowControl w:val="0"/>
        <w:spacing w:before="0" w:after="0" w:line="360" w:lineRule="auto"/>
        <w:rPr>
          <w:sz w:val="21"/>
          <w:szCs w:val="21"/>
        </w:rPr>
      </w:pPr>
      <w:r>
        <w:rPr>
          <w:sz w:val="21"/>
          <w:szCs w:val="21"/>
        </w:rPr>
        <w:t xml:space="preserve">28. </w:t>
      </w:r>
      <w:r>
        <w:rPr>
          <w:rFonts w:ascii="宋体" w:hAnsi="宋体" w:eastAsia="宋体" w:cs="宋体"/>
          <w:sz w:val="21"/>
          <w:szCs w:val="21"/>
        </w:rPr>
        <w:t>在“万隆精神”的影响下，</w:t>
      </w:r>
      <w:r>
        <w:rPr>
          <w:sz w:val="21"/>
          <w:szCs w:val="21"/>
        </w:rPr>
        <w:t>1957</w:t>
      </w:r>
      <w:r>
        <w:rPr>
          <w:rFonts w:ascii="宋体" w:hAnsi="宋体" w:eastAsia="宋体" w:cs="宋体"/>
          <w:sz w:val="21"/>
          <w:szCs w:val="21"/>
        </w:rPr>
        <w:t>年第一届亚非人民团结大会召开，</w:t>
      </w:r>
      <w:r>
        <w:rPr>
          <w:sz w:val="21"/>
          <w:szCs w:val="21"/>
        </w:rPr>
        <w:t>1961</w:t>
      </w:r>
      <w:r>
        <w:rPr>
          <w:rFonts w:ascii="宋体" w:hAnsi="宋体" w:eastAsia="宋体" w:cs="宋体"/>
          <w:sz w:val="21"/>
          <w:szCs w:val="21"/>
        </w:rPr>
        <w:t>年不结盟运动正式成立。这表明万隆会议（</w:t>
      </w:r>
      <w:r>
        <w:rPr>
          <w:sz w:val="21"/>
          <w:szCs w:val="21"/>
        </w:rPr>
        <w:t xml:space="preserve">   </w:t>
      </w:r>
      <w:r>
        <w:rPr>
          <w:rFonts w:ascii="宋体" w:hAnsi="宋体" w:eastAsia="宋体" w:cs="宋体"/>
          <w:sz w:val="21"/>
          <w:szCs w:val="21"/>
        </w:rPr>
        <w:t>）</w:t>
      </w:r>
    </w:p>
    <w:p w14:paraId="27EFA5E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使亚非拉民族解放运动受到鼓舞</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使非洲国家摆脱了殖民主义枷锁</w:t>
      </w:r>
    </w:p>
    <w:p w14:paraId="16B930F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终结两极格局</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推动欧盟成立</w:t>
      </w:r>
    </w:p>
    <w:p w14:paraId="386EB075">
      <w:pPr>
        <w:widowControl w:val="0"/>
        <w:spacing w:before="0" w:after="0" w:line="286" w:lineRule="auto"/>
      </w:pPr>
      <w:r>
        <w:rPr>
          <w:rFonts w:ascii="宋体" w:hAnsi="宋体" w:eastAsia="宋体" w:cs="宋体"/>
          <w:b/>
          <w:bCs/>
        </w:rPr>
        <w:t>二、非选择题：共</w:t>
      </w:r>
      <w:r>
        <w:rPr>
          <w:b/>
          <w:bCs/>
        </w:rPr>
        <w:t>4</w:t>
      </w:r>
      <w:r>
        <w:rPr>
          <w:rFonts w:ascii="宋体" w:hAnsi="宋体" w:eastAsia="宋体" w:cs="宋体"/>
          <w:b/>
          <w:bCs/>
        </w:rPr>
        <w:t>小题，共</w:t>
      </w:r>
      <w:r>
        <w:rPr>
          <w:b/>
          <w:bCs/>
        </w:rPr>
        <w:t>44</w:t>
      </w:r>
      <w:r>
        <w:rPr>
          <w:rFonts w:ascii="宋体" w:hAnsi="宋体" w:eastAsia="宋体" w:cs="宋体"/>
          <w:b/>
          <w:bCs/>
        </w:rPr>
        <w:t>分。</w:t>
      </w:r>
    </w:p>
    <w:p w14:paraId="6251CECE">
      <w:pPr>
        <w:widowControl w:val="0"/>
        <w:spacing w:before="0" w:after="0" w:line="360" w:lineRule="auto"/>
        <w:rPr>
          <w:sz w:val="21"/>
          <w:szCs w:val="21"/>
        </w:rPr>
      </w:pPr>
      <w:r>
        <w:rPr>
          <w:sz w:val="21"/>
          <w:szCs w:val="21"/>
        </w:rPr>
        <w:t xml:space="preserve">29. </w:t>
      </w:r>
      <w:r>
        <w:rPr>
          <w:rFonts w:ascii="宋体" w:hAnsi="宋体" w:eastAsia="宋体" w:cs="宋体"/>
          <w:sz w:val="21"/>
          <w:szCs w:val="21"/>
        </w:rPr>
        <w:t>阅读材料，完成下列要求。</w:t>
      </w:r>
    </w:p>
    <w:p w14:paraId="28D985C3">
      <w:pPr>
        <w:widowControl w:val="0"/>
        <w:spacing w:before="0" w:after="0" w:line="360" w:lineRule="auto"/>
        <w:rPr>
          <w:sz w:val="21"/>
          <w:szCs w:val="21"/>
        </w:rPr>
      </w:pPr>
      <w:r>
        <w:rPr>
          <w:strike w:val="0"/>
          <w:sz w:val="21"/>
          <w:szCs w:val="21"/>
          <w:u w:val="none"/>
        </w:rPr>
        <w:drawing>
          <wp:inline distT="0" distB="0" distL="114300" distR="114300">
            <wp:extent cx="4953000" cy="3438525"/>
            <wp:effectExtent l="0" t="0" r="0" b="9525"/>
            <wp:docPr id="100097" name="图片 1000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7" name="图片 10009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953000" cy="3438525"/>
                    </a:xfrm>
                    <a:prstGeom prst="rect">
                      <a:avLst/>
                    </a:prstGeom>
                  </pic:spPr>
                </pic:pic>
              </a:graphicData>
            </a:graphic>
          </wp:inline>
        </w:drawing>
      </w:r>
    </w:p>
    <w:p w14:paraId="2E553FB9">
      <w:pPr>
        <w:widowControl w:val="0"/>
        <w:spacing w:before="0" w:after="0" w:line="360" w:lineRule="auto"/>
        <w:rPr>
          <w:sz w:val="21"/>
          <w:szCs w:val="21"/>
        </w:rPr>
      </w:pPr>
      <w:r>
        <w:rPr>
          <w:rFonts w:ascii="宋体" w:hAnsi="宋体" w:eastAsia="宋体" w:cs="宋体"/>
          <w:sz w:val="21"/>
          <w:szCs w:val="21"/>
        </w:rPr>
        <w:t>上图习题，你选择了正确选项</w:t>
      </w:r>
      <w:r>
        <w:rPr>
          <w:sz w:val="21"/>
          <w:szCs w:val="21"/>
        </w:rPr>
        <w:t>B</w:t>
      </w:r>
      <w:r>
        <w:rPr>
          <w:rFonts w:ascii="宋体" w:hAnsi="宋体" w:eastAsia="宋体" w:cs="宋体"/>
          <w:sz w:val="21"/>
          <w:szCs w:val="21"/>
        </w:rPr>
        <w:t>。请观察该题，提取至少两个信息且结合其反映的史实，说服选择了其余选项的同学。</w:t>
      </w:r>
    </w:p>
    <w:p w14:paraId="27511ADD">
      <w:pPr>
        <w:widowControl w:val="0"/>
        <w:spacing w:before="0" w:after="0" w:line="360" w:lineRule="auto"/>
        <w:rPr>
          <w:sz w:val="21"/>
          <w:szCs w:val="21"/>
        </w:rPr>
      </w:pPr>
      <w:r>
        <w:rPr>
          <w:sz w:val="21"/>
          <w:szCs w:val="21"/>
        </w:rPr>
        <w:t xml:space="preserve">30. </w:t>
      </w:r>
      <w:r>
        <w:rPr>
          <w:rFonts w:ascii="宋体" w:hAnsi="宋体" w:eastAsia="宋体" w:cs="宋体"/>
          <w:sz w:val="21"/>
          <w:szCs w:val="21"/>
        </w:rPr>
        <w:t>阅读材料，完成下列要求。</w:t>
      </w:r>
    </w:p>
    <w:p w14:paraId="5D6F5B12">
      <w:pPr>
        <w:widowControl w:val="0"/>
        <w:spacing w:before="0" w:after="0" w:line="360" w:lineRule="auto"/>
        <w:ind w:firstLine="420"/>
        <w:rPr>
          <w:sz w:val="21"/>
          <w:szCs w:val="21"/>
        </w:rPr>
      </w:pPr>
      <w:r>
        <w:rPr>
          <w:rFonts w:ascii="楷体" w:hAnsi="楷体" w:eastAsia="楷体" w:cs="楷体"/>
          <w:sz w:val="21"/>
          <w:szCs w:val="21"/>
        </w:rPr>
        <w:t>材料一</w:t>
      </w:r>
      <w:r>
        <w:rPr>
          <w:sz w:val="21"/>
          <w:szCs w:val="21"/>
        </w:rPr>
        <w:t xml:space="preserve">  </w:t>
      </w:r>
      <w:r>
        <w:rPr>
          <w:rFonts w:ascii="楷体" w:hAnsi="楷体" w:eastAsia="楷体" w:cs="楷体"/>
          <w:sz w:val="21"/>
          <w:szCs w:val="21"/>
        </w:rPr>
        <w:t>历代农民通过对各种自然现象进行观测总结，积累了大量的物候知识。物候知识与气象、天象紧密联系，可被用于把握农时以达到增产目的，如“黄莺儿鸣叫”就是采桑活动时宜的标志。利用物候知识研究农业生产，已经发展为一门科学——物候学。</w:t>
      </w:r>
    </w:p>
    <w:p w14:paraId="79CEBB6B">
      <w:pPr>
        <w:widowControl w:val="0"/>
        <w:spacing w:before="0" w:after="0" w:line="360" w:lineRule="auto"/>
        <w:jc w:val="right"/>
        <w:rPr>
          <w:sz w:val="21"/>
          <w:szCs w:val="21"/>
        </w:rPr>
      </w:pPr>
      <w:r>
        <w:rPr>
          <w:rFonts w:ascii="楷体" w:hAnsi="楷体" w:eastAsia="楷体" w:cs="楷体"/>
          <w:sz w:val="21"/>
          <w:szCs w:val="21"/>
        </w:rPr>
        <w:t>——摘编自阴法鲁等主编《中国古代文化史（插图本）》</w:t>
      </w:r>
    </w:p>
    <w:p w14:paraId="225E8CD9">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）根据材料一，简述物候知识的价值。</w:t>
      </w:r>
    </w:p>
    <w:p w14:paraId="39628ABE">
      <w:pPr>
        <w:widowControl w:val="0"/>
        <w:spacing w:before="0" w:after="0" w:line="360" w:lineRule="auto"/>
        <w:ind w:firstLine="420"/>
        <w:rPr>
          <w:sz w:val="21"/>
          <w:szCs w:val="21"/>
        </w:rPr>
      </w:pPr>
      <w:r>
        <w:rPr>
          <w:rFonts w:ascii="楷体" w:hAnsi="楷体" w:eastAsia="楷体" w:cs="楷体"/>
          <w:sz w:val="21"/>
          <w:szCs w:val="21"/>
        </w:rPr>
        <w:t>材料二</w:t>
      </w:r>
      <w:r>
        <w:rPr>
          <w:strike w:val="0"/>
          <w:sz w:val="21"/>
          <w:szCs w:val="21"/>
          <w:u w:val="none"/>
        </w:rPr>
        <w:drawing>
          <wp:inline distT="0" distB="0" distL="114300" distR="114300">
            <wp:extent cx="28575" cy="28575"/>
            <wp:effectExtent l="0" t="0" r="0" b="0"/>
            <wp:docPr id="100099" name="图片 100099"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图片 100099" descr="page number 5"/>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2B0BB236">
      <w:pPr>
        <w:sectPr>
          <w:headerReference r:id="rId13" w:type="default"/>
          <w:type w:val="continuous"/>
          <w:pgSz w:w="11927" w:h="16875"/>
          <w:pgMar w:top="800" w:right="1120" w:bottom="540" w:left="1120" w:header="708" w:footer="708" w:gutter="0"/>
          <w:cols w:space="708" w:num="1"/>
          <w:docGrid w:linePitch="360" w:charSpace="0"/>
        </w:sectPr>
      </w:pPr>
    </w:p>
    <w:p w14:paraId="0DCAC54E">
      <w:pPr>
        <w:widowControl w:val="0"/>
        <w:spacing w:before="0" w:after="0" w:line="360" w:lineRule="auto"/>
        <w:rPr>
          <w:sz w:val="21"/>
          <w:szCs w:val="21"/>
        </w:rPr>
      </w:pPr>
      <w:r>
        <w:rPr>
          <w:strike w:val="0"/>
          <w:sz w:val="21"/>
          <w:szCs w:val="21"/>
          <w:u w:val="none"/>
        </w:rPr>
        <w:drawing>
          <wp:inline distT="0" distB="0" distL="114300" distR="114300">
            <wp:extent cx="3676650" cy="1438275"/>
            <wp:effectExtent l="0" t="0" r="0" b="9525"/>
            <wp:docPr id="100113" name="图片 1001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676650" cy="1438275"/>
                    </a:xfrm>
                    <a:prstGeom prst="rect">
                      <a:avLst/>
                    </a:prstGeom>
                  </pic:spPr>
                </pic:pic>
              </a:graphicData>
            </a:graphic>
          </wp:inline>
        </w:drawing>
      </w:r>
    </w:p>
    <w:p w14:paraId="020C9AE1">
      <w:pPr>
        <w:widowControl w:val="0"/>
        <w:spacing w:before="0" w:after="0" w:line="360" w:lineRule="auto"/>
        <w:rPr>
          <w:sz w:val="21"/>
          <w:szCs w:val="21"/>
        </w:rPr>
      </w:pPr>
      <w:r>
        <w:rPr>
          <w:rFonts w:ascii="楷体" w:hAnsi="楷体" w:eastAsia="楷体" w:cs="楷体"/>
          <w:sz w:val="21"/>
          <w:szCs w:val="21"/>
        </w:rPr>
        <w:t>图</w:t>
      </w:r>
      <w:r>
        <w:rPr>
          <w:sz w:val="21"/>
          <w:szCs w:val="21"/>
        </w:rPr>
        <w:t xml:space="preserve">  </w:t>
      </w:r>
      <w:r>
        <w:rPr>
          <w:rFonts w:ascii="楷体" w:hAnsi="楷体" w:eastAsia="楷体" w:cs="楷体"/>
          <w:sz w:val="21"/>
          <w:szCs w:val="21"/>
        </w:rPr>
        <w:t>唐鎏金银香囊及其内部构造</w:t>
      </w:r>
    </w:p>
    <w:p w14:paraId="7CFF8FC0">
      <w:pPr>
        <w:widowControl w:val="0"/>
        <w:spacing w:before="0" w:after="0" w:line="360" w:lineRule="auto"/>
        <w:ind w:firstLine="420"/>
        <w:rPr>
          <w:sz w:val="21"/>
          <w:szCs w:val="21"/>
        </w:rPr>
      </w:pPr>
      <w:r>
        <w:rPr>
          <w:rFonts w:ascii="楷体" w:hAnsi="楷体" w:eastAsia="楷体" w:cs="楷体"/>
          <w:sz w:val="21"/>
          <w:szCs w:val="21"/>
        </w:rPr>
        <w:t>注：该香囊利用了陀螺仪万向支架原理，无论如何转动，中间焚香的盂始终保持水平状态，焚香都不会倾洒；外壳通体镂空，便于香气散出，且可随身挂佩，在唐朝风靡一时。</w:t>
      </w:r>
    </w:p>
    <w:p w14:paraId="71AD70D3">
      <w:pPr>
        <w:widowControl w:val="0"/>
        <w:spacing w:before="0" w:after="0" w:line="360" w:lineRule="auto"/>
        <w:rPr>
          <w:sz w:val="21"/>
          <w:szCs w:val="21"/>
        </w:rPr>
      </w:pPr>
      <w:r>
        <w:rPr>
          <w:strike w:val="0"/>
          <w:sz w:val="21"/>
          <w:szCs w:val="21"/>
          <w:u w:val="none"/>
        </w:rPr>
        <w:drawing>
          <wp:inline distT="0" distB="0" distL="114300" distR="114300">
            <wp:extent cx="2476500" cy="2124075"/>
            <wp:effectExtent l="0" t="0" r="0" b="9525"/>
            <wp:docPr id="100115" name="图片 1001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476500" cy="2124075"/>
                    </a:xfrm>
                    <a:prstGeom prst="rect">
                      <a:avLst/>
                    </a:prstGeom>
                  </pic:spPr>
                </pic:pic>
              </a:graphicData>
            </a:graphic>
          </wp:inline>
        </w:drawing>
      </w:r>
    </w:p>
    <w:p w14:paraId="2C88BEEB">
      <w:pPr>
        <w:widowControl w:val="0"/>
        <w:spacing w:before="0" w:after="0" w:line="360" w:lineRule="auto"/>
        <w:rPr>
          <w:sz w:val="21"/>
          <w:szCs w:val="21"/>
        </w:rPr>
      </w:pPr>
      <w:r>
        <w:rPr>
          <w:rFonts w:ascii="楷体" w:hAnsi="楷体" w:eastAsia="楷体" w:cs="楷体"/>
          <w:sz w:val="21"/>
          <w:szCs w:val="21"/>
        </w:rPr>
        <w:t>图</w:t>
      </w:r>
      <w:r>
        <w:rPr>
          <w:sz w:val="21"/>
          <w:szCs w:val="21"/>
        </w:rPr>
        <w:t xml:space="preserve">  </w:t>
      </w:r>
      <w:r>
        <w:rPr>
          <w:rFonts w:ascii="楷体" w:hAnsi="楷体" w:eastAsia="楷体" w:cs="楷体"/>
          <w:sz w:val="21"/>
          <w:szCs w:val="21"/>
        </w:rPr>
        <w:t>北宋青釉剔花倒装壶及其构造示意图</w:t>
      </w:r>
    </w:p>
    <w:p w14:paraId="6E895704">
      <w:pPr>
        <w:widowControl w:val="0"/>
        <w:spacing w:before="0" w:after="0" w:line="360" w:lineRule="auto"/>
        <w:ind w:firstLine="420"/>
        <w:rPr>
          <w:sz w:val="21"/>
          <w:szCs w:val="21"/>
        </w:rPr>
      </w:pPr>
      <w:r>
        <w:rPr>
          <w:rFonts w:ascii="楷体" w:hAnsi="楷体" w:eastAsia="楷体" w:cs="楷体"/>
          <w:sz w:val="21"/>
          <w:szCs w:val="21"/>
        </w:rPr>
        <w:t>注：该壶利用了虹吸原理，注水孔在壶底，注水时，水并不会从壶嘴流出。水壶翻转后，水也不会从壶底漏出，只有当壶身向壶嘴处倾斜时，水才会自然流出，这增加了壶的密封性和便携性，后来该类壶普遍流行。</w:t>
      </w:r>
    </w:p>
    <w:p w14:paraId="306F8A6C">
      <w:pPr>
        <w:widowControl w:val="0"/>
        <w:spacing w:before="0" w:after="0" w:line="360" w:lineRule="auto"/>
        <w:jc w:val="right"/>
        <w:rPr>
          <w:sz w:val="21"/>
          <w:szCs w:val="21"/>
        </w:rPr>
      </w:pPr>
      <w:r>
        <w:rPr>
          <w:rFonts w:ascii="楷体" w:hAnsi="楷体" w:eastAsia="楷体" w:cs="楷体"/>
          <w:sz w:val="21"/>
          <w:szCs w:val="21"/>
        </w:rPr>
        <w:t>——摘编自爱德华·谢弗《撒马尔罕的金桃》等</w:t>
      </w:r>
    </w:p>
    <w:p w14:paraId="0C982471">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）根据材料二，概括其体现出的古代手工业品的特点。</w:t>
      </w:r>
    </w:p>
    <w:p w14:paraId="0D63FCBA">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）根据材料一、二，提炼一个主题。</w:t>
      </w:r>
    </w:p>
    <w:p w14:paraId="691F9ACA">
      <w:pPr>
        <w:widowControl w:val="0"/>
        <w:spacing w:before="0" w:after="0" w:line="360" w:lineRule="auto"/>
        <w:rPr>
          <w:sz w:val="21"/>
          <w:szCs w:val="21"/>
        </w:rPr>
      </w:pPr>
      <w:r>
        <w:rPr>
          <w:sz w:val="21"/>
          <w:szCs w:val="21"/>
        </w:rPr>
        <w:t xml:space="preserve">31. </w:t>
      </w:r>
      <w:r>
        <w:rPr>
          <w:rFonts w:ascii="宋体" w:hAnsi="宋体" w:eastAsia="宋体" w:cs="宋体"/>
          <w:sz w:val="21"/>
          <w:szCs w:val="21"/>
        </w:rPr>
        <w:t>阅读材料，完成下列要求。</w:t>
      </w:r>
    </w:p>
    <w:p w14:paraId="054EB07C">
      <w:pPr>
        <w:widowControl w:val="0"/>
        <w:spacing w:before="0" w:after="0" w:line="360" w:lineRule="auto"/>
        <w:ind w:firstLine="420"/>
        <w:rPr>
          <w:sz w:val="21"/>
          <w:szCs w:val="21"/>
        </w:rPr>
      </w:pPr>
      <w:r>
        <w:rPr>
          <w:rFonts w:ascii="楷体" w:hAnsi="楷体" w:eastAsia="楷体" w:cs="楷体"/>
          <w:sz w:val="21"/>
          <w:szCs w:val="21"/>
        </w:rPr>
        <w:t>材料一</w:t>
      </w:r>
      <w:r>
        <w:rPr>
          <w:sz w:val="21"/>
          <w:szCs w:val="21"/>
        </w:rPr>
        <w:t xml:space="preserve">  </w:t>
      </w:r>
      <w:r>
        <w:rPr>
          <w:rFonts w:ascii="楷体" w:hAnsi="楷体" w:eastAsia="楷体" w:cs="楷体"/>
          <w:sz w:val="21"/>
          <w:szCs w:val="21"/>
        </w:rPr>
        <w:t>五大湖地区一度是美国制造业的骄傲，但持续了两百年的污染问题一直无法得到解决。目前。湖中发现了</w:t>
      </w:r>
      <w:r>
        <w:rPr>
          <w:sz w:val="21"/>
          <w:szCs w:val="21"/>
        </w:rPr>
        <w:t>30000</w:t>
      </w:r>
      <w:r>
        <w:rPr>
          <w:rFonts w:ascii="楷体" w:hAnsi="楷体" w:eastAsia="楷体" w:cs="楷体"/>
          <w:sz w:val="21"/>
          <w:szCs w:val="21"/>
        </w:rPr>
        <w:t>种在工业中。常见的化合物，有</w:t>
      </w:r>
      <w:r>
        <w:rPr>
          <w:sz w:val="21"/>
          <w:szCs w:val="21"/>
        </w:rPr>
        <w:t>500</w:t>
      </w:r>
      <w:r>
        <w:rPr>
          <w:rFonts w:ascii="楷体" w:hAnsi="楷体" w:eastAsia="楷体" w:cs="楷体"/>
          <w:sz w:val="21"/>
          <w:szCs w:val="21"/>
        </w:rPr>
        <w:t>种对人体有害，其中致癌物芳香烃和能引起基因突变的诱变剂浓度很高。</w:t>
      </w:r>
    </w:p>
    <w:p w14:paraId="2A33A070">
      <w:pPr>
        <w:widowControl w:val="0"/>
        <w:spacing w:before="0" w:after="0" w:line="360" w:lineRule="auto"/>
        <w:jc w:val="right"/>
        <w:rPr>
          <w:sz w:val="21"/>
          <w:szCs w:val="21"/>
        </w:rPr>
      </w:pPr>
      <w:r>
        <w:rPr>
          <w:rFonts w:ascii="楷体" w:hAnsi="楷体" w:eastAsia="楷体" w:cs="楷体"/>
          <w:sz w:val="21"/>
          <w:szCs w:val="21"/>
        </w:rPr>
        <w:t>——摘编自王斯德《世界通史》等</w:t>
      </w:r>
      <w:r>
        <w:rPr>
          <w:strike w:val="0"/>
          <w:sz w:val="21"/>
          <w:szCs w:val="21"/>
          <w:u w:val="none"/>
        </w:rPr>
        <w:drawing>
          <wp:inline distT="0" distB="0" distL="114300" distR="114300">
            <wp:extent cx="28575" cy="28575"/>
            <wp:effectExtent l="0" t="0" r="0" b="0"/>
            <wp:docPr id="100117" name="图片 100117"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descr="page number 6"/>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42BA5B16">
      <w:pPr>
        <w:sectPr>
          <w:headerReference r:id="rId14" w:type="default"/>
          <w:type w:val="continuous"/>
          <w:pgSz w:w="11927" w:h="16875"/>
          <w:pgMar w:top="800" w:right="1120" w:bottom="540" w:left="1120" w:header="708" w:footer="708" w:gutter="0"/>
          <w:cols w:space="708" w:num="1"/>
          <w:docGrid w:linePitch="360" w:charSpace="0"/>
        </w:sectPr>
      </w:pPr>
    </w:p>
    <w:p w14:paraId="5CA870DE">
      <w:pPr>
        <w:widowControl w:val="0"/>
        <w:spacing w:before="0" w:after="0" w:line="360" w:lineRule="auto"/>
        <w:rPr>
          <w:sz w:val="21"/>
          <w:szCs w:val="21"/>
        </w:rPr>
      </w:pPr>
      <w:r>
        <w:rPr>
          <w:strike w:val="0"/>
          <w:sz w:val="21"/>
          <w:szCs w:val="21"/>
          <w:u w:val="none"/>
        </w:rPr>
        <w:drawing>
          <wp:inline distT="0" distB="0" distL="114300" distR="114300">
            <wp:extent cx="3533775" cy="2009775"/>
            <wp:effectExtent l="0" t="0" r="9525" b="9525"/>
            <wp:docPr id="100131" name="图片 1001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1" name="图片 100131"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533775" cy="2009775"/>
                    </a:xfrm>
                    <a:prstGeom prst="rect">
                      <a:avLst/>
                    </a:prstGeom>
                  </pic:spPr>
                </pic:pic>
              </a:graphicData>
            </a:graphic>
          </wp:inline>
        </w:drawing>
      </w:r>
    </w:p>
    <w:p w14:paraId="48C5543A">
      <w:pPr>
        <w:widowControl w:val="0"/>
        <w:spacing w:before="0" w:after="0" w:line="360" w:lineRule="auto"/>
        <w:rPr>
          <w:sz w:val="21"/>
          <w:szCs w:val="21"/>
        </w:rPr>
      </w:pPr>
      <w:r>
        <w:rPr>
          <w:rFonts w:ascii="宋体" w:hAnsi="宋体" w:eastAsia="宋体" w:cs="宋体"/>
          <w:sz w:val="21"/>
          <w:szCs w:val="21"/>
        </w:rPr>
        <w:t>图</w:t>
      </w:r>
      <w:r>
        <w:rPr>
          <w:sz w:val="21"/>
          <w:szCs w:val="21"/>
        </w:rPr>
        <w:t xml:space="preserve"> </w:t>
      </w:r>
      <w:r>
        <w:rPr>
          <w:rFonts w:ascii="宋体" w:hAnsi="宋体" w:eastAsia="宋体" w:cs="宋体"/>
          <w:sz w:val="21"/>
          <w:szCs w:val="21"/>
        </w:rPr>
        <w:t>五大湖地区</w:t>
      </w:r>
      <w:r>
        <w:rPr>
          <w:strike w:val="0"/>
          <w:sz w:val="21"/>
          <w:szCs w:val="21"/>
          <w:u w:val="none"/>
        </w:rPr>
        <w:drawing>
          <wp:inline distT="0" distB="0" distL="114300" distR="114300">
            <wp:extent cx="133350" cy="180975"/>
            <wp:effectExtent l="0" t="0" r="0" b="8890"/>
            <wp:docPr id="100133" name="图片 100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pic:cNvPicPr>
                      <a:picLocks noChangeAspect="1"/>
                    </pic:cNvPicPr>
                  </pic:nvPicPr>
                  <pic:blipFill>
                    <a:blip r:embed="rId24"/>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工厂集群排放污水·</w:t>
      </w:r>
      <w:r>
        <w:rPr>
          <w:sz w:val="21"/>
          <w:szCs w:val="21"/>
        </w:rPr>
        <w:t>19</w:t>
      </w:r>
      <w:r>
        <w:rPr>
          <w:rFonts w:ascii="宋体" w:hAnsi="宋体" w:eastAsia="宋体" w:cs="宋体"/>
          <w:sz w:val="21"/>
          <w:szCs w:val="21"/>
        </w:rPr>
        <w:t>世纪末</w:t>
      </w:r>
    </w:p>
    <w:p w14:paraId="2CF26747">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）根据材料一，简析造成上述现象的原因。</w:t>
      </w:r>
    </w:p>
    <w:p w14:paraId="1F315F34">
      <w:pPr>
        <w:widowControl w:val="0"/>
        <w:spacing w:before="0" w:after="0" w:line="360" w:lineRule="auto"/>
        <w:rPr>
          <w:sz w:val="21"/>
          <w:szCs w:val="21"/>
        </w:rPr>
      </w:pPr>
      <w:r>
        <w:rPr>
          <w:rFonts w:ascii="楷体" w:hAnsi="楷体" w:eastAsia="楷体" w:cs="楷体"/>
          <w:sz w:val="21"/>
          <w:szCs w:val="21"/>
        </w:rPr>
        <w:t>材料二</w:t>
      </w:r>
      <w:r>
        <w:rPr>
          <w:sz w:val="21"/>
          <w:szCs w:val="21"/>
        </w:rPr>
        <w:t xml:space="preserve">  </w:t>
      </w:r>
      <w:r>
        <w:rPr>
          <w:rFonts w:ascii="楷体" w:hAnsi="楷体" w:eastAsia="楷体" w:cs="楷体"/>
          <w:sz w:val="21"/>
          <w:szCs w:val="21"/>
        </w:rPr>
        <w:t>改革开放以来，中国经济快速发展，但也积累了大量生态环境问题。为此，国家提出从环境保护滞后于经济发展转变为环境保护和经济发展同步的规划。“十一五”期间，中央采取新建重大节能环保工程等举措，全国单位</w:t>
      </w:r>
      <w:r>
        <w:rPr>
          <w:sz w:val="21"/>
          <w:szCs w:val="21"/>
        </w:rPr>
        <w:t>GDP</w:t>
      </w:r>
      <w:r>
        <w:rPr>
          <w:rFonts w:ascii="楷体" w:hAnsi="楷体" w:eastAsia="楷体" w:cs="楷体"/>
          <w:sz w:val="21"/>
          <w:szCs w:val="21"/>
        </w:rPr>
        <w:t>能耗累计下降</w:t>
      </w:r>
      <w:r>
        <w:rPr>
          <w:sz w:val="21"/>
          <w:szCs w:val="21"/>
        </w:rPr>
        <w:t>15.61%</w:t>
      </w:r>
      <w:r>
        <w:rPr>
          <w:rFonts w:ascii="楷体" w:hAnsi="楷体" w:eastAsia="楷体" w:cs="楷体"/>
          <w:sz w:val="21"/>
          <w:szCs w:val="21"/>
        </w:rPr>
        <w:t>。</w:t>
      </w:r>
    </w:p>
    <w:p w14:paraId="47632D76">
      <w:pPr>
        <w:widowControl w:val="0"/>
        <w:spacing w:before="0" w:after="0" w:line="360" w:lineRule="auto"/>
        <w:jc w:val="right"/>
        <w:rPr>
          <w:sz w:val="21"/>
          <w:szCs w:val="21"/>
        </w:rPr>
      </w:pPr>
      <w:r>
        <w:rPr>
          <w:rFonts w:ascii="楷体" w:hAnsi="楷体" w:eastAsia="楷体" w:cs="楷体"/>
          <w:sz w:val="21"/>
          <w:szCs w:val="21"/>
        </w:rPr>
        <w:t>——摘编自刘国新《中国共产党治国社会方略研究》等</w:t>
      </w:r>
    </w:p>
    <w:p w14:paraId="600E6B46">
      <w:pPr>
        <w:widowControl w:val="0"/>
        <w:spacing w:before="0" w:after="0" w:line="360" w:lineRule="auto"/>
        <w:rPr>
          <w:sz w:val="21"/>
          <w:szCs w:val="21"/>
        </w:rPr>
      </w:pPr>
      <w:r>
        <w:rPr>
          <w:strike w:val="0"/>
          <w:sz w:val="21"/>
          <w:szCs w:val="21"/>
          <w:u w:val="none"/>
        </w:rPr>
        <w:drawing>
          <wp:inline distT="0" distB="0" distL="114300" distR="114300">
            <wp:extent cx="3571875" cy="1647825"/>
            <wp:effectExtent l="0" t="0" r="9525" b="9525"/>
            <wp:docPr id="100135" name="图片 1001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5" name="图片 10013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571875" cy="1647825"/>
                    </a:xfrm>
                    <a:prstGeom prst="rect">
                      <a:avLst/>
                    </a:prstGeom>
                  </pic:spPr>
                </pic:pic>
              </a:graphicData>
            </a:graphic>
          </wp:inline>
        </w:drawing>
      </w:r>
    </w:p>
    <w:p w14:paraId="02FEE8A5">
      <w:pPr>
        <w:widowControl w:val="0"/>
        <w:spacing w:before="0" w:after="0" w:line="360" w:lineRule="auto"/>
        <w:rPr>
          <w:sz w:val="21"/>
          <w:szCs w:val="21"/>
        </w:rPr>
      </w:pPr>
      <w:r>
        <w:rPr>
          <w:rFonts w:ascii="宋体" w:hAnsi="宋体" w:eastAsia="宋体" w:cs="宋体"/>
          <w:sz w:val="21"/>
          <w:szCs w:val="21"/>
        </w:rPr>
        <w:t>图</w:t>
      </w:r>
      <w:r>
        <w:rPr>
          <w:sz w:val="21"/>
          <w:szCs w:val="21"/>
        </w:rPr>
        <w:t xml:space="preserve"> </w:t>
      </w:r>
      <w:r>
        <w:rPr>
          <w:rFonts w:ascii="宋体" w:hAnsi="宋体" w:eastAsia="宋体" w:cs="宋体"/>
          <w:sz w:val="21"/>
          <w:szCs w:val="21"/>
        </w:rPr>
        <w:t>“十一五”期间国内生产总值（</w:t>
      </w:r>
      <w:r>
        <w:rPr>
          <w:sz w:val="21"/>
          <w:szCs w:val="21"/>
        </w:rPr>
        <w:t>GDP</w:t>
      </w:r>
      <w:r>
        <w:rPr>
          <w:rFonts w:ascii="宋体" w:hAnsi="宋体" w:eastAsia="宋体" w:cs="宋体"/>
          <w:sz w:val="21"/>
          <w:szCs w:val="21"/>
        </w:rPr>
        <w:t>）</w:t>
      </w:r>
    </w:p>
    <w:p w14:paraId="1492AD19">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）根据材料二，指出中国为解决环境问题所采取的措施，并归纳其成效。</w:t>
      </w:r>
    </w:p>
    <w:p w14:paraId="0A0786A6">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）综合上述材料，说明环境保护和经济发展之间的关系。</w:t>
      </w:r>
    </w:p>
    <w:p w14:paraId="2E090529">
      <w:pPr>
        <w:widowControl w:val="0"/>
        <w:spacing w:before="0" w:after="0" w:line="360" w:lineRule="auto"/>
        <w:rPr>
          <w:sz w:val="21"/>
          <w:szCs w:val="21"/>
        </w:rPr>
      </w:pPr>
      <w:r>
        <w:rPr>
          <w:sz w:val="21"/>
          <w:szCs w:val="21"/>
        </w:rPr>
        <w:t xml:space="preserve">32. </w:t>
      </w:r>
      <w:r>
        <w:rPr>
          <w:rFonts w:ascii="宋体" w:hAnsi="宋体" w:eastAsia="宋体" w:cs="宋体"/>
          <w:sz w:val="21"/>
          <w:szCs w:val="21"/>
        </w:rPr>
        <w:t>结合严谨的史料，电影可以帮助我们更好的感受历史上的时代变迁、重大事件、人物情感和社会百态。表</w:t>
      </w:r>
      <w:r>
        <w:rPr>
          <w:sz w:val="21"/>
          <w:szCs w:val="21"/>
        </w:rPr>
        <w:t>3</w:t>
      </w:r>
      <w:r>
        <w:rPr>
          <w:rFonts w:ascii="宋体" w:hAnsi="宋体" w:eastAsia="宋体" w:cs="宋体"/>
          <w:sz w:val="21"/>
          <w:szCs w:val="21"/>
        </w:rPr>
        <w:t>为中外电影摘录，阅读材料，完成下列要求。</w:t>
      </w:r>
    </w:p>
    <w:p w14:paraId="72F2D458">
      <w:pPr>
        <w:widowControl w:val="0"/>
        <w:spacing w:before="0" w:after="0" w:line="360" w:lineRule="auto"/>
        <w:ind w:firstLine="420"/>
        <w:rPr>
          <w:sz w:val="21"/>
          <w:szCs w:val="21"/>
        </w:rPr>
      </w:pPr>
      <w:r>
        <w:rPr>
          <w:rFonts w:ascii="楷体" w:hAnsi="楷体" w:eastAsia="楷体" w:cs="楷体"/>
          <w:sz w:val="21"/>
          <w:szCs w:val="21"/>
        </w:rPr>
        <w:t>材料</w:t>
      </w:r>
    </w:p>
    <w:tbl>
      <w:tblPr>
        <w:tblStyle w:val="4"/>
        <w:tblW w:w="412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742"/>
        <w:gridCol w:w="2383"/>
      </w:tblGrid>
      <w:tr w14:paraId="723D3B7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bottom w:val="single" w:color="000000" w:sz="6" w:space="0"/>
              <w:right w:val="single" w:color="000000" w:sz="6" w:space="0"/>
            </w:tcBorders>
            <w:noWrap w:val="0"/>
            <w:tcMar>
              <w:top w:w="76" w:type="dxa"/>
              <w:left w:w="120" w:type="dxa"/>
              <w:bottom w:w="76" w:type="dxa"/>
              <w:right w:w="120" w:type="dxa"/>
            </w:tcMar>
            <w:vAlign w:val="center"/>
          </w:tcPr>
          <w:p w14:paraId="375B776B">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中国电影</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1F6E6C26">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外国电影</w:t>
            </w:r>
          </w:p>
        </w:tc>
      </w:tr>
      <w:tr w14:paraId="4E0669F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8B029A4">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《杨靖宇》</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66DA6750">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《珍珠港》</w:t>
            </w:r>
          </w:p>
        </w:tc>
      </w:tr>
      <w:tr w14:paraId="1F535C1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7D39070">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《百团大战》</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A157C6C">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《斯大林格勒保卫战》</w:t>
            </w:r>
          </w:p>
        </w:tc>
      </w:tr>
      <w:tr w14:paraId="51D72E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right w:val="single" w:color="000000" w:sz="6" w:space="0"/>
            </w:tcBorders>
            <w:noWrap w:val="0"/>
            <w:tcMar>
              <w:top w:w="76" w:type="dxa"/>
              <w:left w:w="120" w:type="dxa"/>
              <w:bottom w:w="76" w:type="dxa"/>
              <w:right w:w="120" w:type="dxa"/>
            </w:tcMar>
            <w:vAlign w:val="center"/>
          </w:tcPr>
          <w:p w14:paraId="48A56509">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《血战台儿庄》</w:t>
            </w:r>
          </w:p>
        </w:tc>
        <w:tc>
          <w:tcPr>
            <w:tcBorders>
              <w:top w:val="single" w:color="000000" w:sz="6" w:space="0"/>
              <w:left w:val="single" w:color="000000" w:sz="6" w:space="0"/>
            </w:tcBorders>
            <w:noWrap w:val="0"/>
            <w:tcMar>
              <w:top w:w="76" w:type="dxa"/>
              <w:left w:w="120" w:type="dxa"/>
              <w:bottom w:w="76" w:type="dxa"/>
              <w:right w:w="120" w:type="dxa"/>
            </w:tcMar>
            <w:vAlign w:val="center"/>
          </w:tcPr>
          <w:p w14:paraId="07011F5D">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《巴顿将军》</w:t>
            </w:r>
          </w:p>
        </w:tc>
      </w:tr>
    </w:tbl>
    <w:p w14:paraId="18145DC1">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137" name="图片 100137"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7" name="图片 100137" descr="page number 7"/>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13044776">
      <w:pPr>
        <w:sectPr>
          <w:headerReference r:id="rId15" w:type="default"/>
          <w:type w:val="continuous"/>
          <w:pgSz w:w="11927" w:h="16875"/>
          <w:pgMar w:top="800" w:right="1120" w:bottom="540" w:left="1120" w:header="708" w:footer="708" w:gutter="0"/>
          <w:cols w:space="708" w:num="1"/>
          <w:docGrid w:linePitch="360" w:charSpace="0"/>
        </w:sectPr>
      </w:pPr>
    </w:p>
    <w:tbl>
      <w:tblPr>
        <w:tblStyle w:val="4"/>
        <w:tblW w:w="412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182"/>
        <w:gridCol w:w="1943"/>
      </w:tblGrid>
      <w:tr w14:paraId="41E831A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bottom w:val="single" w:color="000000" w:sz="6" w:space="0"/>
              <w:right w:val="single" w:color="000000" w:sz="6" w:space="0"/>
            </w:tcBorders>
            <w:noWrap w:val="0"/>
            <w:tcMar>
              <w:top w:w="76" w:type="dxa"/>
              <w:left w:w="120" w:type="dxa"/>
              <w:bottom w:w="76" w:type="dxa"/>
              <w:right w:w="120" w:type="dxa"/>
            </w:tcMar>
            <w:vAlign w:val="center"/>
          </w:tcPr>
          <w:p w14:paraId="7002A9CF">
            <w:pPr>
              <w:widowControl w:val="0"/>
              <w:spacing w:before="0" w:after="0" w:line="360" w:lineRule="auto"/>
              <w:jc w:val="center"/>
              <w:rPr>
                <w:b w:val="0"/>
                <w:bCs w:val="0"/>
                <w:i w:val="0"/>
                <w:iCs w:val="0"/>
                <w:smallCaps w:val="0"/>
                <w:color w:val="000000"/>
                <w:sz w:val="21"/>
                <w:szCs w:val="21"/>
              </w:rPr>
            </w:pPr>
            <w:bookmarkStart w:id="0" w:name="_GoBack"/>
            <w:bookmarkEnd w:id="0"/>
            <w:r>
              <w:rPr>
                <w:rFonts w:ascii="楷体" w:hAnsi="楷体" w:eastAsia="楷体" w:cs="楷体"/>
                <w:b w:val="0"/>
                <w:bCs w:val="0"/>
                <w:i w:val="0"/>
                <w:iCs w:val="0"/>
                <w:smallCaps w:val="0"/>
                <w:color w:val="000000"/>
                <w:sz w:val="21"/>
                <w:szCs w:val="21"/>
              </w:rPr>
              <w:t>《七七事变》</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4C271448">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《战争与和平》</w:t>
            </w:r>
          </w:p>
        </w:tc>
      </w:tr>
      <w:tr w14:paraId="24A9E3C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D01E8F2">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《狼牙山五壮士》</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1A1C119F">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《不列颠空战》</w:t>
            </w:r>
          </w:p>
        </w:tc>
      </w:tr>
      <w:tr w14:paraId="53B1E9B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Borders>
              <w:top w:val="single" w:color="000000" w:sz="6" w:space="0"/>
              <w:right w:val="single" w:color="000000" w:sz="6" w:space="0"/>
            </w:tcBorders>
            <w:noWrap w:val="0"/>
            <w:tcMar>
              <w:top w:w="76" w:type="dxa"/>
              <w:left w:w="120" w:type="dxa"/>
              <w:bottom w:w="76" w:type="dxa"/>
              <w:right w:w="120" w:type="dxa"/>
            </w:tcMar>
            <w:vAlign w:val="center"/>
          </w:tcPr>
          <w:p w14:paraId="551C6F43">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《平津战役》</w:t>
            </w:r>
          </w:p>
        </w:tc>
        <w:tc>
          <w:tcPr>
            <w:tcBorders>
              <w:top w:val="single" w:color="000000" w:sz="6" w:space="0"/>
              <w:left w:val="single" w:color="000000" w:sz="6" w:space="0"/>
            </w:tcBorders>
            <w:noWrap w:val="0"/>
            <w:tcMar>
              <w:top w:w="76" w:type="dxa"/>
              <w:left w:w="120" w:type="dxa"/>
              <w:bottom w:w="76" w:type="dxa"/>
              <w:right w:w="120" w:type="dxa"/>
            </w:tcMar>
            <w:vAlign w:val="center"/>
          </w:tcPr>
          <w:p w14:paraId="37EBE6EC">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《诺曼底登陆》</w:t>
            </w:r>
          </w:p>
        </w:tc>
      </w:tr>
    </w:tbl>
    <w:p w14:paraId="1DF898F2">
      <w:pPr>
        <w:widowControl w:val="0"/>
        <w:spacing w:before="0" w:after="0" w:line="360" w:lineRule="auto"/>
        <w:jc w:val="right"/>
        <w:rPr>
          <w:sz w:val="21"/>
          <w:szCs w:val="21"/>
        </w:rPr>
      </w:pPr>
      <w:r>
        <w:rPr>
          <w:rFonts w:ascii="楷体" w:hAnsi="楷体" w:eastAsia="楷体" w:cs="楷体"/>
          <w:sz w:val="21"/>
          <w:szCs w:val="21"/>
        </w:rPr>
        <w:t>——摘编自钟大丰、舒晓鸣《中国电影史》等</w:t>
      </w:r>
    </w:p>
    <w:p w14:paraId="09098770">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）呈现人类过往历史的方式是多元的，请写出除电影外的一种呈现方式。</w:t>
      </w:r>
    </w:p>
    <w:p w14:paraId="5F90F621">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）为举办主题观影活动，请你从材料中选出反映第二次世界大战的两部电影，结合其反映的史实，拟定一个主题并加以论述。</w:t>
      </w:r>
    </w:p>
    <w:p w14:paraId="53C5CBD3">
      <w:pPr>
        <w:widowControl w:val="0"/>
        <w:spacing w:before="0" w:after="0" w:line="360" w:lineRule="auto"/>
        <w:rPr>
          <w:sz w:val="21"/>
          <w:szCs w:val="21"/>
        </w:rPr>
      </w:pPr>
      <w:r>
        <w:rPr>
          <w:rFonts w:ascii="宋体" w:hAnsi="宋体" w:eastAsia="宋体" w:cs="宋体"/>
          <w:sz w:val="21"/>
          <w:szCs w:val="21"/>
        </w:rPr>
        <w:t>（要求：价值观正确，选取正确，主题明确，史论结合）</w:t>
      </w:r>
      <w:r>
        <w:rPr>
          <w:strike w:val="0"/>
          <w:sz w:val="21"/>
          <w:szCs w:val="21"/>
          <w:u w:val="none"/>
        </w:rPr>
        <w:drawing>
          <wp:inline distT="0" distB="0" distL="114300" distR="114300">
            <wp:extent cx="28575" cy="28575"/>
            <wp:effectExtent l="0" t="0" r="0" b="0"/>
            <wp:docPr id="100151" name="图片 100151"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1" name="图片 100151" descr="page number 8"/>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336640BE"/>
    <w:sectPr>
      <w:headerReference r:id="rId16"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58D5D">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2990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360A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87A75">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13490">
    <w:pPr>
      <w:pStyle w:val="3"/>
      <w:pBdr>
        <w:bottom w:val="none" w:color="auto" w:sz="0" w:space="1"/>
      </w:pBdr>
      <w:rPr>
        <w:rFonts w:hint="eastAsia"/>
        <w:lang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6F2BD">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E6F7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2B3A3">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14F5">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396B5">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E83CC">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ABE88">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9518B">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02E98">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AB5EEB"/>
    <w:rsid w:val="00CA2A55"/>
    <w:rsid w:val="13FD1058"/>
    <w:rsid w:val="641123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media/image12.png"/><Relationship Id="rId28" Type="http://schemas.openxmlformats.org/officeDocument/2006/relationships/image" Target="media/image11.png"/><Relationship Id="rId27" Type="http://schemas.openxmlformats.org/officeDocument/2006/relationships/image" Target="media/image10.png"/><Relationship Id="rId26" Type="http://schemas.openxmlformats.org/officeDocument/2006/relationships/image" Target="media/image9.png"/><Relationship Id="rId25" Type="http://schemas.openxmlformats.org/officeDocument/2006/relationships/image" Target="media/image8.png"/><Relationship Id="rId24" Type="http://schemas.openxmlformats.org/officeDocument/2006/relationships/image" Target="media/image7.png"/><Relationship Id="rId23" Type="http://schemas.openxmlformats.org/officeDocument/2006/relationships/image" Target="media/image6.png"/><Relationship Id="rId22" Type="http://schemas.openxmlformats.org/officeDocument/2006/relationships/image" Target="media/image5.png"/><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8</Pages>
  <Words>3676</Words>
  <Characters>3916</Characters>
  <Lines>1</Lines>
  <Paragraphs>1</Paragraphs>
  <TotalTime>0</TotalTime>
  <ScaleCrop>false</ScaleCrop>
  <LinksUpToDate>false</LinksUpToDate>
  <CharactersWithSpaces>4227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2024-06-22T15:01:00Z</dcterms:created>
  <dc:creator>Administrator</dc:creator>
  <cp:lastModifiedBy>上帝掷骰子吗</cp:lastModifiedBy>
  <dcterms:modified xsi:type="dcterms:W3CDTF">2026-02-09T06:12:44Z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F7BD46DA62744FAD816D7141DD491CFD_12</vt:lpwstr>
  </property>
  <property fmtid="{D5CDD505-2E9C-101B-9397-08002B2CF9AE}" pid="4" name="KSOTemplateDocerSaveRecord">
    <vt:lpwstr>eyJoZGlkIjoiMjljNjk0N2RhMTc0NzI3ZTQwZWEyZWMyMzA2NzliMDQiLCJ1c2VySWQiOiI3ODUwOTA2ODcifQ==</vt:lpwstr>
  </property>
</Properties>
</file>