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C71BD8">
      <w:pPr>
        <w:widowControl w:val="0"/>
        <w:spacing w:before="0" w:after="0" w:line="360" w:lineRule="auto"/>
        <w:jc w:val="center"/>
        <w:rPr>
          <w:sz w:val="32"/>
          <w:szCs w:val="32"/>
        </w:rPr>
      </w:pPr>
      <w:r>
        <w:rPr>
          <w:strike w:val="0"/>
          <w:sz w:val="32"/>
          <w:szCs w:val="32"/>
          <w:u w:val="none"/>
        </w:rPr>
        <w:drawing>
          <wp:anchor distT="0" distB="0" distL="114300" distR="114300" simplePos="0" relativeHeight="251659264" behindDoc="0" locked="0" layoutInCell="1" allowOverlap="1">
            <wp:simplePos x="0" y="0"/>
            <wp:positionH relativeFrom="page">
              <wp:posOffset>11887200</wp:posOffset>
            </wp:positionH>
            <wp:positionV relativeFrom="topMargin">
              <wp:posOffset>10972800</wp:posOffset>
            </wp:positionV>
            <wp:extent cx="495300" cy="409575"/>
            <wp:effectExtent l="0" t="0" r="0" b="9525"/>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6"/>
                    <a:stretch>
                      <a:fillRect/>
                    </a:stretch>
                  </pic:blipFill>
                  <pic:spPr>
                    <a:xfrm>
                      <a:off x="0" y="0"/>
                      <a:ext cx="495300" cy="409575"/>
                    </a:xfrm>
                    <a:prstGeom prst="rect">
                      <a:avLst/>
                    </a:prstGeom>
                  </pic:spPr>
                </pic:pic>
              </a:graphicData>
            </a:graphic>
          </wp:anchor>
        </w:drawing>
      </w:r>
      <w:r>
        <w:rPr>
          <w:rFonts w:ascii="宋体" w:hAnsi="宋体" w:eastAsia="宋体" w:cs="宋体"/>
          <w:b/>
          <w:bCs/>
          <w:sz w:val="32"/>
          <w:szCs w:val="32"/>
        </w:rPr>
        <w:t>2024年湖南省初中学业水平考试历史</w:t>
      </w:r>
    </w:p>
    <w:p w14:paraId="52D69D6A">
      <w:pPr>
        <w:widowControl w:val="0"/>
        <w:spacing w:before="0" w:after="0" w:line="360" w:lineRule="auto"/>
      </w:pPr>
      <w:r>
        <w:rPr>
          <w:rFonts w:ascii="宋体" w:hAnsi="宋体" w:eastAsia="宋体" w:cs="宋体"/>
          <w:b/>
          <w:bCs/>
        </w:rPr>
        <w:t>本试题卷共6页。时量60分钟。满分100分。</w:t>
      </w:r>
    </w:p>
    <w:p w14:paraId="6B4A3DB1">
      <w:pPr>
        <w:widowControl w:val="0"/>
        <w:spacing w:before="0" w:after="0" w:line="360" w:lineRule="auto"/>
      </w:pPr>
      <w:r>
        <w:rPr>
          <w:rFonts w:ascii="宋体" w:hAnsi="宋体" w:eastAsia="宋体" w:cs="宋体"/>
          <w:b/>
          <w:bCs/>
        </w:rPr>
        <w:t>注意事项：</w:t>
      </w:r>
    </w:p>
    <w:p w14:paraId="07AE4F22">
      <w:pPr>
        <w:widowControl w:val="0"/>
        <w:spacing w:before="0" w:after="0" w:line="360" w:lineRule="auto"/>
      </w:pPr>
      <w:r>
        <w:rPr>
          <w:rFonts w:ascii="宋体" w:hAnsi="宋体" w:eastAsia="宋体" w:cs="宋体"/>
          <w:b/>
          <w:bCs/>
        </w:rPr>
        <w:t>1.答题前，考生先将自己的姓名、准考证号写在答题卡和本试题卷上，并认真核对条形码上的姓名、准考证号和相关信息；</w:t>
      </w:r>
    </w:p>
    <w:p w14:paraId="48E80E00">
      <w:pPr>
        <w:widowControl w:val="0"/>
        <w:spacing w:before="0" w:after="0" w:line="360" w:lineRule="auto"/>
      </w:pPr>
      <w:r>
        <w:rPr>
          <w:rFonts w:ascii="宋体" w:hAnsi="宋体" w:eastAsia="宋体" w:cs="宋体"/>
          <w:b/>
          <w:bCs/>
        </w:rPr>
        <w:t>2.选择题部分请按题号用2B铅笔填涂方框，修改时用橡皮擦干净，不留痕迹；</w:t>
      </w:r>
    </w:p>
    <w:p w14:paraId="4A2331FD">
      <w:pPr>
        <w:widowControl w:val="0"/>
        <w:spacing w:before="0" w:after="0" w:line="360" w:lineRule="auto"/>
      </w:pPr>
      <w:r>
        <w:rPr>
          <w:rFonts w:ascii="宋体" w:hAnsi="宋体" w:eastAsia="宋体" w:cs="宋体"/>
          <w:b/>
          <w:bCs/>
        </w:rPr>
        <w:t>3.非选择题部分请按题号用0.5毫米黑色墨水签字笔书写，否则作答无效；</w:t>
      </w:r>
    </w:p>
    <w:p w14:paraId="7AEF1989">
      <w:pPr>
        <w:widowControl w:val="0"/>
        <w:spacing w:before="0" w:after="0" w:line="360" w:lineRule="auto"/>
      </w:pPr>
      <w:r>
        <w:rPr>
          <w:rFonts w:ascii="宋体" w:hAnsi="宋体" w:eastAsia="宋体" w:cs="宋体"/>
          <w:b/>
          <w:bCs/>
        </w:rPr>
        <w:t>4.在草稿纸、试题卷上作答无效；</w:t>
      </w:r>
    </w:p>
    <w:p w14:paraId="30D5E3EF">
      <w:pPr>
        <w:widowControl w:val="0"/>
        <w:spacing w:before="0" w:after="0" w:line="360" w:lineRule="auto"/>
      </w:pPr>
      <w:r>
        <w:rPr>
          <w:rFonts w:ascii="宋体" w:hAnsi="宋体" w:eastAsia="宋体" w:cs="宋体"/>
          <w:b/>
          <w:bCs/>
        </w:rPr>
        <w:t>5.请勿折叠答题卡，保持字体工整、笔迹清晰、卡面清洁；</w:t>
      </w:r>
    </w:p>
    <w:p w14:paraId="39FA3627">
      <w:pPr>
        <w:widowControl w:val="0"/>
        <w:spacing w:before="0" w:after="0" w:line="360" w:lineRule="auto"/>
      </w:pPr>
      <w:r>
        <w:rPr>
          <w:rFonts w:ascii="宋体" w:hAnsi="宋体" w:eastAsia="宋体" w:cs="宋体"/>
          <w:b/>
          <w:bCs/>
        </w:rPr>
        <w:t>6.答题卡上不得使用涂改液、涂改胶和贴纸。</w:t>
      </w:r>
    </w:p>
    <w:p w14:paraId="2804D9A6">
      <w:pPr>
        <w:widowControl w:val="0"/>
        <w:spacing w:before="0" w:after="0" w:line="360" w:lineRule="auto"/>
      </w:pPr>
      <w:r>
        <w:rPr>
          <w:rFonts w:ascii="宋体" w:hAnsi="宋体" w:eastAsia="宋体" w:cs="宋体"/>
          <w:b/>
          <w:bCs/>
        </w:rPr>
        <w:t>一、选择题（本题共16小题，每小题3分，共48分。在每小题给出的四个选项中，只有一项是符合题目要求的）</w:t>
      </w:r>
    </w:p>
    <w:p w14:paraId="6329E1D1">
      <w:pPr>
        <w:widowControl w:val="0"/>
        <w:spacing w:before="0" w:after="0" w:line="360" w:lineRule="auto"/>
        <w:rPr>
          <w:sz w:val="21"/>
          <w:szCs w:val="21"/>
        </w:rPr>
      </w:pPr>
      <w:r>
        <w:rPr>
          <w:sz w:val="21"/>
          <w:szCs w:val="21"/>
        </w:rPr>
        <w:t xml:space="preserve">1. </w:t>
      </w:r>
      <w:r>
        <w:rPr>
          <w:rFonts w:ascii="宋体" w:hAnsi="宋体" w:eastAsia="宋体" w:cs="宋体"/>
          <w:sz w:val="21"/>
          <w:szCs w:val="21"/>
        </w:rPr>
        <w:t>如图是陕西西安半坡遗址出土的文物。该文物说明当时的人们已掌握（   ）</w:t>
      </w:r>
    </w:p>
    <w:p w14:paraId="03AA27EA">
      <w:pPr>
        <w:widowControl w:val="0"/>
        <w:spacing w:before="0" w:after="0" w:line="360" w:lineRule="auto"/>
        <w:rPr>
          <w:sz w:val="21"/>
          <w:szCs w:val="21"/>
        </w:rPr>
      </w:pPr>
      <w:r>
        <w:rPr>
          <w:strike w:val="0"/>
          <w:sz w:val="21"/>
          <w:szCs w:val="21"/>
          <w:u w:val="none"/>
        </w:rPr>
        <w:drawing>
          <wp:inline distT="0" distB="0" distL="114300" distR="114300">
            <wp:extent cx="1362075" cy="11811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362075" cy="1181100"/>
                    </a:xfrm>
                    <a:prstGeom prst="rect">
                      <a:avLst/>
                    </a:prstGeom>
                  </pic:spPr>
                </pic:pic>
              </a:graphicData>
            </a:graphic>
          </wp:inline>
        </w:drawing>
      </w:r>
    </w:p>
    <w:p w14:paraId="4B7B1CDE">
      <w:pPr>
        <w:widowControl w:val="0"/>
        <w:tabs>
          <w:tab w:val="left" w:pos="2436"/>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种植技术</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制陶技术人面鱼纹彩陶盆</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凿井技术</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纺织技术</w:t>
      </w:r>
    </w:p>
    <w:p w14:paraId="5A902B51">
      <w:pPr>
        <w:widowControl w:val="0"/>
        <w:spacing w:before="0" w:after="0" w:line="360" w:lineRule="auto"/>
        <w:rPr>
          <w:sz w:val="21"/>
          <w:szCs w:val="21"/>
        </w:rPr>
      </w:pPr>
      <w:r>
        <w:rPr>
          <w:sz w:val="21"/>
          <w:szCs w:val="21"/>
        </w:rPr>
        <w:t xml:space="preserve">2. </w:t>
      </w:r>
      <w:r>
        <w:rPr>
          <w:rFonts w:ascii="宋体" w:hAnsi="宋体" w:eastAsia="宋体" w:cs="宋体"/>
          <w:sz w:val="21"/>
          <w:szCs w:val="21"/>
        </w:rPr>
        <w:t>西晋灭亡后，大量北方人口南迁。截至南朝初阴，南渡人口已达九十五万，占当时南方人口总数的六分之一。这推动了（   ）</w:t>
      </w:r>
    </w:p>
    <w:p w14:paraId="248C806E">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八王之乱的爆发</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三国鼎立局面的形成</w:t>
      </w:r>
    </w:p>
    <w:p w14:paraId="2C67CD3B">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江南地区的开发</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北方农业技术的进步</w:t>
      </w:r>
    </w:p>
    <w:p w14:paraId="776C23FD">
      <w:pPr>
        <w:widowControl w:val="0"/>
        <w:spacing w:before="0" w:after="0" w:line="360" w:lineRule="auto"/>
        <w:rPr>
          <w:sz w:val="21"/>
          <w:szCs w:val="21"/>
        </w:rPr>
      </w:pPr>
      <w:r>
        <w:rPr>
          <w:sz w:val="21"/>
          <w:szCs w:val="21"/>
        </w:rPr>
        <w:t xml:space="preserve">3. </w:t>
      </w:r>
      <w:r>
        <w:rPr>
          <w:rFonts w:ascii="宋体" w:hAnsi="宋体" w:eastAsia="宋体" w:cs="宋体"/>
          <w:sz w:val="21"/>
          <w:szCs w:val="21"/>
        </w:rPr>
        <w:t>“在明朝朝廷心目中，天朝的声望好像比物质的贸易更重要，异域的臣服比外来的物质更重要。”材料意在说明郑和下西洋的主要目的是（   ）</w:t>
      </w:r>
    </w:p>
    <w:p w14:paraId="153088C6">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开展贸易</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获取财富</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宣扬国威</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增长见识</w:t>
      </w:r>
    </w:p>
    <w:p w14:paraId="46D147DF">
      <w:pPr>
        <w:widowControl w:val="0"/>
        <w:spacing w:before="0" w:after="0" w:line="360" w:lineRule="auto"/>
        <w:rPr>
          <w:sz w:val="21"/>
          <w:szCs w:val="21"/>
        </w:rPr>
      </w:pPr>
      <w:r>
        <w:rPr>
          <w:sz w:val="21"/>
          <w:szCs w:val="21"/>
        </w:rPr>
        <w:t xml:space="preserve">4. </w:t>
      </w:r>
      <w:r>
        <w:rPr>
          <w:rFonts w:ascii="宋体" w:hAnsi="宋体" w:eastAsia="宋体" w:cs="宋体"/>
          <w:sz w:val="21"/>
          <w:szCs w:val="21"/>
        </w:rPr>
        <w:t>某同学在自主学习</w:t>
      </w:r>
      <w:r>
        <w:rPr>
          <w:strike w:val="0"/>
          <w:sz w:val="21"/>
          <w:szCs w:val="21"/>
          <w:u w:val="none"/>
        </w:rPr>
        <w:drawing>
          <wp:inline distT="0" distB="0" distL="114300" distR="114300">
            <wp:extent cx="133350" cy="180975"/>
            <wp:effectExtent l="0" t="0" r="0" b="889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8"/>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过程中，整理了相关笔记（见如图）。据此判断，她在学习中国古代的（   ）</w:t>
      </w:r>
      <w:r>
        <w:rPr>
          <w:strike w:val="0"/>
          <w:sz w:val="21"/>
          <w:szCs w:val="21"/>
          <w:u w:val="none"/>
        </w:rPr>
        <w:drawing>
          <wp:inline distT="0" distB="0" distL="114300" distR="114300">
            <wp:extent cx="28575" cy="28575"/>
            <wp:effectExtent l="0" t="0" r="0" b="0"/>
            <wp:docPr id="100015" name="图片 100015" descr="page numbe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page number 0"/>
                    <pic:cNvPicPr>
                      <a:picLocks noChangeAspect="1"/>
                    </pic:cNvPicPr>
                  </pic:nvPicPr>
                  <pic:blipFill>
                    <a:blip r:embed="rId19"/>
                    <a:stretch>
                      <a:fillRect/>
                    </a:stretch>
                  </pic:blipFill>
                  <pic:spPr>
                    <a:xfrm>
                      <a:off x="0" y="0"/>
                      <a:ext cx="28575" cy="28575"/>
                    </a:xfrm>
                    <a:prstGeom prst="rect">
                      <a:avLst/>
                    </a:prstGeom>
                  </pic:spPr>
                </pic:pic>
              </a:graphicData>
            </a:graphic>
          </wp:inline>
        </w:drawing>
      </w:r>
    </w:p>
    <w:p w14:paraId="64CC5704">
      <w:pPr>
        <w:sectPr>
          <w:headerReference r:id="rId5" w:type="first"/>
          <w:footerReference r:id="rId8" w:type="first"/>
          <w:headerReference r:id="rId3" w:type="default"/>
          <w:footerReference r:id="rId6" w:type="default"/>
          <w:headerReference r:id="rId4" w:type="even"/>
          <w:footerReference r:id="rId7" w:type="even"/>
          <w:type w:val="continuous"/>
          <w:pgSz w:w="11927" w:h="16875"/>
          <w:pgMar w:top="800" w:right="1120" w:bottom="540" w:left="1120" w:header="708" w:footer="708" w:gutter="0"/>
          <w:cols w:space="708" w:num="1"/>
          <w:docGrid w:linePitch="360" w:charSpace="0"/>
        </w:sectPr>
      </w:pPr>
    </w:p>
    <w:p w14:paraId="4F1FA9A4">
      <w:pPr>
        <w:widowControl w:val="0"/>
        <w:spacing w:before="0" w:after="0" w:line="360" w:lineRule="auto"/>
        <w:rPr>
          <w:sz w:val="21"/>
          <w:szCs w:val="21"/>
        </w:rPr>
      </w:pPr>
      <w:r>
        <w:rPr>
          <w:strike w:val="0"/>
          <w:sz w:val="21"/>
          <w:szCs w:val="21"/>
          <w:u w:val="none"/>
        </w:rPr>
        <w:drawing>
          <wp:inline distT="0" distB="0" distL="114300" distR="114300">
            <wp:extent cx="1952625" cy="1543050"/>
            <wp:effectExtent l="0" t="0" r="9525"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952625" cy="1543050"/>
                    </a:xfrm>
                    <a:prstGeom prst="rect">
                      <a:avLst/>
                    </a:prstGeom>
                  </pic:spPr>
                </pic:pic>
              </a:graphicData>
            </a:graphic>
          </wp:inline>
        </w:drawing>
      </w:r>
    </w:p>
    <w:p w14:paraId="07973386">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文学艺术</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民族政策</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科技成就</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政治制度</w:t>
      </w:r>
    </w:p>
    <w:p w14:paraId="19CB4D8B">
      <w:pPr>
        <w:widowControl w:val="0"/>
        <w:spacing w:before="0" w:after="0" w:line="360" w:lineRule="auto"/>
        <w:rPr>
          <w:sz w:val="21"/>
          <w:szCs w:val="21"/>
        </w:rPr>
      </w:pPr>
      <w:r>
        <w:rPr>
          <w:sz w:val="21"/>
          <w:szCs w:val="21"/>
        </w:rPr>
        <w:t xml:space="preserve">5. </w:t>
      </w:r>
      <w:r>
        <w:rPr>
          <w:rFonts w:ascii="宋体" w:hAnsi="宋体" w:eastAsia="宋体" w:cs="宋体"/>
          <w:sz w:val="21"/>
          <w:szCs w:val="21"/>
        </w:rPr>
        <w:t>19世纪40年代，中国的关税自主权遭到严重破坏，中国海关失去了保护本国工、农、商业生产的作用。出现这一后果是因为清政府被迫签订了（   ）</w:t>
      </w:r>
    </w:p>
    <w:p w14:paraId="1E0C156F">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《南京条约》</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《北京条约》</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《马关条约》</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《辛丑条约》</w:t>
      </w:r>
    </w:p>
    <w:p w14:paraId="5C844E27">
      <w:pPr>
        <w:widowControl w:val="0"/>
        <w:spacing w:before="0" w:after="0" w:line="360" w:lineRule="auto"/>
        <w:rPr>
          <w:sz w:val="21"/>
          <w:szCs w:val="21"/>
        </w:rPr>
      </w:pPr>
      <w:r>
        <w:rPr>
          <w:sz w:val="21"/>
          <w:szCs w:val="21"/>
        </w:rPr>
        <w:t xml:space="preserve">6. </w:t>
      </w:r>
      <w:r>
        <w:rPr>
          <w:rFonts w:ascii="宋体" w:hAnsi="宋体" w:eastAsia="宋体" w:cs="宋体"/>
          <w:sz w:val="21"/>
          <w:szCs w:val="21"/>
        </w:rPr>
        <w:t>1917年，胡适提出了“不用典”“不用套语”等主张，陈独秀号召用“国民文学”取代“贵族文学”。由此可知，胡适和陈独秀希望（   ）</w:t>
      </w:r>
    </w:p>
    <w:p w14:paraId="53813763">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保留旧文学</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废除科举制</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普及白话文</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推翻清王朝</w:t>
      </w:r>
    </w:p>
    <w:p w14:paraId="7D44DADB">
      <w:pPr>
        <w:widowControl w:val="0"/>
        <w:spacing w:before="0" w:after="0" w:line="360" w:lineRule="auto"/>
        <w:rPr>
          <w:sz w:val="21"/>
          <w:szCs w:val="21"/>
        </w:rPr>
      </w:pPr>
      <w:r>
        <w:rPr>
          <w:sz w:val="21"/>
          <w:szCs w:val="21"/>
        </w:rPr>
        <w:t xml:space="preserve">7. </w:t>
      </w:r>
      <w:r>
        <w:rPr>
          <w:rFonts w:ascii="宋体" w:hAnsi="宋体" w:eastAsia="宋体" w:cs="宋体"/>
          <w:sz w:val="21"/>
          <w:szCs w:val="21"/>
        </w:rPr>
        <w:t>1945年8月，毛泽东离开延安前说：“由于有我们的力量，全国的人心，蒋介石自己的困难，外国的干预四个条件，这次去是可以解决一些问题的。”据此判断，毛泽东此行的目的地是（   ）</w:t>
      </w:r>
    </w:p>
    <w:p w14:paraId="253FE931">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重庆</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南京</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西安</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广州</w:t>
      </w:r>
    </w:p>
    <w:p w14:paraId="61B46BAA">
      <w:pPr>
        <w:widowControl w:val="0"/>
        <w:spacing w:before="0" w:after="0" w:line="360" w:lineRule="auto"/>
        <w:rPr>
          <w:sz w:val="21"/>
          <w:szCs w:val="21"/>
        </w:rPr>
      </w:pPr>
      <w:r>
        <w:rPr>
          <w:sz w:val="21"/>
          <w:szCs w:val="21"/>
        </w:rPr>
        <w:t xml:space="preserve">8. </w:t>
      </w:r>
      <w:r>
        <w:rPr>
          <w:rFonts w:ascii="宋体" w:hAnsi="宋体" w:eastAsia="宋体" w:cs="宋体"/>
          <w:sz w:val="21"/>
          <w:szCs w:val="21"/>
        </w:rPr>
        <w:t>某同学准备写一篇关于张謇的人物传记。下列所拟传记标题恰当的是（   ）</w:t>
      </w:r>
    </w:p>
    <w:p w14:paraId="2324480A">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“反清英雄第一人”</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革命先行者</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中国近代铁路之父</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状元实业家</w:t>
      </w:r>
    </w:p>
    <w:p w14:paraId="4DFE3463">
      <w:pPr>
        <w:widowControl w:val="0"/>
        <w:spacing w:before="0" w:after="0" w:line="360" w:lineRule="auto"/>
        <w:rPr>
          <w:sz w:val="21"/>
          <w:szCs w:val="21"/>
        </w:rPr>
      </w:pPr>
      <w:r>
        <w:rPr>
          <w:sz w:val="21"/>
          <w:szCs w:val="21"/>
        </w:rPr>
        <w:t xml:space="preserve">9. </w:t>
      </w:r>
      <w:r>
        <w:rPr>
          <w:rFonts w:ascii="宋体" w:hAnsi="宋体" w:eastAsia="宋体" w:cs="宋体"/>
          <w:sz w:val="21"/>
          <w:szCs w:val="21"/>
        </w:rPr>
        <w:t>1955年，中国政府依据“必须走出去”的战略决策，派周恩来等代表参加了亚非会议。针对帝国主义破坏会议的阴谋和各国间的矛盾、分歧，周恩来提出了“求同存异”的方针，促进了会议的圆满成功。这次会议（   ）</w:t>
      </w:r>
    </w:p>
    <w:p w14:paraId="25547F45">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加强了中国同亚非各国的团结合作</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宣告了不结盟运动的正式成立</w:t>
      </w:r>
    </w:p>
    <w:p w14:paraId="19B8307F">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恢复了新中国在联合国的合法席位</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形成了全方位的对外开放格局</w:t>
      </w:r>
    </w:p>
    <w:p w14:paraId="68FAEAC3">
      <w:pPr>
        <w:widowControl w:val="0"/>
        <w:spacing w:before="0" w:after="0" w:line="360" w:lineRule="auto"/>
        <w:rPr>
          <w:sz w:val="21"/>
          <w:szCs w:val="21"/>
        </w:rPr>
      </w:pPr>
      <w:r>
        <w:rPr>
          <w:sz w:val="21"/>
          <w:szCs w:val="21"/>
        </w:rPr>
        <w:t xml:space="preserve">10. </w:t>
      </w:r>
      <w:r>
        <w:rPr>
          <w:rFonts w:ascii="宋体" w:hAnsi="宋体" w:eastAsia="宋体" w:cs="宋体"/>
          <w:sz w:val="21"/>
          <w:szCs w:val="21"/>
        </w:rPr>
        <w:t>如表是《改革开放以来我国城镇居民家用电器数量统计表》。该表反映了我国改革开放后（   ）</w:t>
      </w:r>
    </w:p>
    <w:p w14:paraId="712620B1">
      <w:pPr>
        <w:widowControl w:val="0"/>
        <w:spacing w:before="0" w:after="0" w:line="360" w:lineRule="auto"/>
        <w:rPr>
          <w:sz w:val="21"/>
          <w:szCs w:val="21"/>
        </w:rPr>
      </w:pPr>
      <w:r>
        <w:rPr>
          <w:rFonts w:ascii="宋体" w:hAnsi="宋体" w:eastAsia="宋体" w:cs="宋体"/>
          <w:sz w:val="21"/>
          <w:szCs w:val="21"/>
        </w:rPr>
        <w:t>单位：台/百户</w:t>
      </w:r>
    </w:p>
    <w:tbl>
      <w:tblPr>
        <w:tblStyle w:val="4"/>
        <w:tblW w:w="4935"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1050"/>
        <w:gridCol w:w="945"/>
        <w:gridCol w:w="945"/>
        <w:gridCol w:w="945"/>
        <w:gridCol w:w="1050"/>
      </w:tblGrid>
      <w:tr w14:paraId="5A3006F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1050" w:type="dxa"/>
            <w:tcBorders>
              <w:bottom w:val="single" w:color="000000" w:sz="6" w:space="0"/>
              <w:right w:val="single" w:color="000000" w:sz="6" w:space="0"/>
            </w:tcBorders>
            <w:noWrap w:val="0"/>
            <w:tcMar>
              <w:top w:w="76" w:type="dxa"/>
              <w:left w:w="120" w:type="dxa"/>
              <w:bottom w:w="76" w:type="dxa"/>
              <w:right w:w="120" w:type="dxa"/>
            </w:tcMar>
            <w:vAlign w:val="center"/>
          </w:tcPr>
          <w:p w14:paraId="2D782FD8">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年份</w:t>
            </w:r>
          </w:p>
          <w:p w14:paraId="2585CBE0">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家用电器</w:t>
            </w:r>
          </w:p>
        </w:tc>
        <w:tc>
          <w:tcPr>
            <w:tcW w:w="945" w:type="dxa"/>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5841F131">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1985年</w:t>
            </w:r>
          </w:p>
        </w:tc>
        <w:tc>
          <w:tcPr>
            <w:tcW w:w="945" w:type="dxa"/>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38E1759C">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1990年</w:t>
            </w:r>
          </w:p>
        </w:tc>
        <w:tc>
          <w:tcPr>
            <w:tcW w:w="945" w:type="dxa"/>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02DF263F">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1995年</w:t>
            </w:r>
          </w:p>
        </w:tc>
        <w:tc>
          <w:tcPr>
            <w:tcW w:w="1050" w:type="dxa"/>
            <w:tcBorders>
              <w:left w:val="single" w:color="000000" w:sz="6" w:space="0"/>
              <w:bottom w:val="single" w:color="000000" w:sz="6" w:space="0"/>
            </w:tcBorders>
            <w:noWrap w:val="0"/>
            <w:tcMar>
              <w:top w:w="76" w:type="dxa"/>
              <w:left w:w="120" w:type="dxa"/>
              <w:bottom w:w="76" w:type="dxa"/>
              <w:right w:w="120" w:type="dxa"/>
            </w:tcMar>
            <w:vAlign w:val="center"/>
          </w:tcPr>
          <w:p w14:paraId="0075757B">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2000年</w:t>
            </w:r>
          </w:p>
        </w:tc>
      </w:tr>
      <w:tr w14:paraId="1757029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1050"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1E3F7F5F">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电冰箱</w:t>
            </w:r>
          </w:p>
        </w:tc>
        <w:tc>
          <w:tcPr>
            <w:tcW w:w="945"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2F6D4D42">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6.58</w:t>
            </w:r>
          </w:p>
        </w:tc>
        <w:tc>
          <w:tcPr>
            <w:tcW w:w="945"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277012FA">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42</w:t>
            </w:r>
            <w:r>
              <w:rPr>
                <w:b w:val="0"/>
                <w:bCs w:val="0"/>
                <w:i w:val="0"/>
                <w:iCs w:val="0"/>
                <w:smallCaps w:val="0"/>
                <w:strike w:val="0"/>
                <w:color w:val="000000"/>
                <w:sz w:val="21"/>
                <w:szCs w:val="21"/>
                <w:u w:val="none"/>
              </w:rPr>
              <w:drawing>
                <wp:inline distT="0" distB="0" distL="114300" distR="114300">
                  <wp:extent cx="38100" cy="9525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21"/>
                          <a:stretch>
                            <a:fillRect/>
                          </a:stretch>
                        </pic:blipFill>
                        <pic:spPr>
                          <a:xfrm>
                            <a:off x="0" y="0"/>
                            <a:ext cx="38100" cy="95250"/>
                          </a:xfrm>
                          <a:prstGeom prst="rect">
                            <a:avLst/>
                          </a:prstGeom>
                        </pic:spPr>
                      </pic:pic>
                    </a:graphicData>
                  </a:graphic>
                </wp:inline>
              </w:drawing>
            </w:r>
            <w:r>
              <w:rPr>
                <w:rFonts w:ascii="宋体" w:hAnsi="宋体" w:eastAsia="宋体" w:cs="宋体"/>
                <w:b w:val="0"/>
                <w:bCs w:val="0"/>
                <w:i w:val="0"/>
                <w:iCs w:val="0"/>
                <w:smallCaps w:val="0"/>
                <w:color w:val="000000"/>
                <w:sz w:val="21"/>
                <w:szCs w:val="21"/>
              </w:rPr>
              <w:t>33</w:t>
            </w:r>
          </w:p>
        </w:tc>
        <w:tc>
          <w:tcPr>
            <w:tcW w:w="945"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4C646D9F">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66.22</w:t>
            </w:r>
          </w:p>
        </w:tc>
        <w:tc>
          <w:tcPr>
            <w:tcW w:w="1050"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7B4CD374">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80.13</w:t>
            </w:r>
          </w:p>
        </w:tc>
      </w:tr>
      <w:tr w14:paraId="549735F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1050" w:type="dxa"/>
            <w:tcBorders>
              <w:top w:val="single" w:color="000000" w:sz="6" w:space="0"/>
              <w:right w:val="single" w:color="000000" w:sz="6" w:space="0"/>
            </w:tcBorders>
            <w:noWrap w:val="0"/>
            <w:tcMar>
              <w:top w:w="76" w:type="dxa"/>
              <w:left w:w="120" w:type="dxa"/>
              <w:bottom w:w="76" w:type="dxa"/>
              <w:right w:w="120" w:type="dxa"/>
            </w:tcMar>
            <w:vAlign w:val="center"/>
          </w:tcPr>
          <w:p w14:paraId="244A6C6C">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洗衣机</w:t>
            </w:r>
          </w:p>
        </w:tc>
        <w:tc>
          <w:tcPr>
            <w:tcW w:w="945" w:type="dxa"/>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7278CA00">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48.29</w:t>
            </w:r>
          </w:p>
        </w:tc>
        <w:tc>
          <w:tcPr>
            <w:tcW w:w="945" w:type="dxa"/>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4F1B1E21">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78.41</w:t>
            </w:r>
          </w:p>
        </w:tc>
        <w:tc>
          <w:tcPr>
            <w:tcW w:w="945" w:type="dxa"/>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0B3E87E3">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88.97</w:t>
            </w:r>
          </w:p>
        </w:tc>
        <w:tc>
          <w:tcPr>
            <w:tcW w:w="1050" w:type="dxa"/>
            <w:tcBorders>
              <w:top w:val="single" w:color="000000" w:sz="6" w:space="0"/>
              <w:left w:val="single" w:color="000000" w:sz="6" w:space="0"/>
            </w:tcBorders>
            <w:noWrap w:val="0"/>
            <w:tcMar>
              <w:top w:w="76" w:type="dxa"/>
              <w:left w:w="120" w:type="dxa"/>
              <w:bottom w:w="76" w:type="dxa"/>
              <w:right w:w="120" w:type="dxa"/>
            </w:tcMar>
            <w:vAlign w:val="center"/>
          </w:tcPr>
          <w:p w14:paraId="6815BE2B">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90.52</w:t>
            </w:r>
          </w:p>
        </w:tc>
      </w:tr>
    </w:tbl>
    <w:p w14:paraId="486276A2">
      <w:pPr>
        <w:widowControl w:val="0"/>
        <w:spacing w:before="0" w:after="0"/>
        <w:jc w:val="both"/>
        <w:rPr>
          <w:sz w:val="0"/>
          <w:szCs w:val="0"/>
        </w:rPr>
      </w:pPr>
      <w:r>
        <w:rPr>
          <w:strike w:val="0"/>
          <w:sz w:val="0"/>
          <w:szCs w:val="0"/>
          <w:u w:val="none"/>
        </w:rPr>
        <w:drawing>
          <wp:inline distT="0" distB="0" distL="114300" distR="114300">
            <wp:extent cx="28575" cy="28575"/>
            <wp:effectExtent l="0" t="0" r="0" b="0"/>
            <wp:docPr id="100033" name="图片 100033" descr="page numb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page number 1"/>
                    <pic:cNvPicPr>
                      <a:picLocks noChangeAspect="1"/>
                    </pic:cNvPicPr>
                  </pic:nvPicPr>
                  <pic:blipFill>
                    <a:blip r:embed="rId19"/>
                    <a:stretch>
                      <a:fillRect/>
                    </a:stretch>
                  </pic:blipFill>
                  <pic:spPr>
                    <a:xfrm>
                      <a:off x="0" y="0"/>
                      <a:ext cx="28575" cy="28575"/>
                    </a:xfrm>
                    <a:prstGeom prst="rect">
                      <a:avLst/>
                    </a:prstGeom>
                  </pic:spPr>
                </pic:pic>
              </a:graphicData>
            </a:graphic>
          </wp:inline>
        </w:drawing>
      </w:r>
    </w:p>
    <w:p w14:paraId="40532A02">
      <w:pPr>
        <w:sectPr>
          <w:headerReference r:id="rId9" w:type="default"/>
          <w:type w:val="continuous"/>
          <w:pgSz w:w="11927" w:h="16875"/>
          <w:pgMar w:top="800" w:right="1120" w:bottom="540" w:left="1120" w:header="708" w:footer="708" w:gutter="0"/>
          <w:cols w:space="708" w:num="1"/>
          <w:docGrid w:linePitch="360" w:charSpace="0"/>
        </w:sectPr>
      </w:pPr>
    </w:p>
    <w:tbl>
      <w:tblPr>
        <w:tblStyle w:val="4"/>
        <w:tblW w:w="4935"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1050"/>
        <w:gridCol w:w="945"/>
        <w:gridCol w:w="945"/>
        <w:gridCol w:w="945"/>
        <w:gridCol w:w="1050"/>
      </w:tblGrid>
      <w:tr w14:paraId="1A5DD27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1050" w:type="dxa"/>
            <w:tcBorders>
              <w:right w:val="single" w:color="000000" w:sz="6" w:space="0"/>
            </w:tcBorders>
            <w:noWrap w:val="0"/>
            <w:tcMar>
              <w:top w:w="76" w:type="dxa"/>
              <w:left w:w="120" w:type="dxa"/>
              <w:bottom w:w="76" w:type="dxa"/>
              <w:right w:w="120" w:type="dxa"/>
            </w:tcMar>
            <w:vAlign w:val="center"/>
          </w:tcPr>
          <w:p w14:paraId="14A806C6">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彩电</w:t>
            </w:r>
          </w:p>
        </w:tc>
        <w:tc>
          <w:tcPr>
            <w:tcW w:w="945" w:type="dxa"/>
            <w:tcBorders>
              <w:left w:val="single" w:color="000000" w:sz="6" w:space="0"/>
              <w:right w:val="single" w:color="000000" w:sz="6" w:space="0"/>
            </w:tcBorders>
            <w:noWrap w:val="0"/>
            <w:tcMar>
              <w:top w:w="76" w:type="dxa"/>
              <w:left w:w="120" w:type="dxa"/>
              <w:bottom w:w="76" w:type="dxa"/>
              <w:right w:w="120" w:type="dxa"/>
            </w:tcMar>
            <w:vAlign w:val="center"/>
          </w:tcPr>
          <w:p w14:paraId="1670B849">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17.21</w:t>
            </w:r>
          </w:p>
        </w:tc>
        <w:tc>
          <w:tcPr>
            <w:tcW w:w="945" w:type="dxa"/>
            <w:tcBorders>
              <w:left w:val="single" w:color="000000" w:sz="6" w:space="0"/>
              <w:right w:val="single" w:color="000000" w:sz="6" w:space="0"/>
            </w:tcBorders>
            <w:noWrap w:val="0"/>
            <w:tcMar>
              <w:top w:w="76" w:type="dxa"/>
              <w:left w:w="120" w:type="dxa"/>
              <w:bottom w:w="76" w:type="dxa"/>
              <w:right w:w="120" w:type="dxa"/>
            </w:tcMar>
            <w:vAlign w:val="center"/>
          </w:tcPr>
          <w:p w14:paraId="4B008108">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59.04</w:t>
            </w:r>
          </w:p>
        </w:tc>
        <w:tc>
          <w:tcPr>
            <w:tcW w:w="945" w:type="dxa"/>
            <w:tcBorders>
              <w:left w:val="single" w:color="000000" w:sz="6" w:space="0"/>
              <w:right w:val="single" w:color="000000" w:sz="6" w:space="0"/>
            </w:tcBorders>
            <w:noWrap w:val="0"/>
            <w:tcMar>
              <w:top w:w="76" w:type="dxa"/>
              <w:left w:w="120" w:type="dxa"/>
              <w:bottom w:w="76" w:type="dxa"/>
              <w:right w:w="120" w:type="dxa"/>
            </w:tcMar>
            <w:vAlign w:val="center"/>
          </w:tcPr>
          <w:p w14:paraId="2B617FE0">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89.79</w:t>
            </w:r>
          </w:p>
        </w:tc>
        <w:tc>
          <w:tcPr>
            <w:tcW w:w="1050" w:type="dxa"/>
            <w:tcBorders>
              <w:left w:val="single" w:color="000000" w:sz="6" w:space="0"/>
            </w:tcBorders>
            <w:noWrap w:val="0"/>
            <w:tcMar>
              <w:top w:w="76" w:type="dxa"/>
              <w:left w:w="120" w:type="dxa"/>
              <w:bottom w:w="76" w:type="dxa"/>
              <w:right w:w="120" w:type="dxa"/>
            </w:tcMar>
            <w:vAlign w:val="center"/>
          </w:tcPr>
          <w:p w14:paraId="3DCF1BED">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116.56</w:t>
            </w:r>
          </w:p>
        </w:tc>
      </w:tr>
    </w:tbl>
    <w:p w14:paraId="309230EB">
      <w:pPr>
        <w:widowControl w:val="0"/>
        <w:spacing w:before="0" w:after="0" w:line="360" w:lineRule="auto"/>
        <w:rPr>
          <w:sz w:val="21"/>
          <w:szCs w:val="21"/>
        </w:rPr>
      </w:pPr>
    </w:p>
    <w:p w14:paraId="6A77624C">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家用电器迭代速度放缓</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城镇居民生活水平显著提高</w:t>
      </w:r>
    </w:p>
    <w:p w14:paraId="0F4297B3">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网络技术取得重大突破</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农村居民人均收入快速增长</w:t>
      </w:r>
    </w:p>
    <w:p w14:paraId="6802BAE1">
      <w:pPr>
        <w:widowControl w:val="0"/>
        <w:spacing w:before="0" w:after="0" w:line="360" w:lineRule="auto"/>
        <w:rPr>
          <w:sz w:val="21"/>
          <w:szCs w:val="21"/>
        </w:rPr>
      </w:pPr>
      <w:r>
        <w:rPr>
          <w:sz w:val="21"/>
          <w:szCs w:val="21"/>
        </w:rPr>
        <w:t xml:space="preserve">11. </w:t>
      </w:r>
      <w:r>
        <w:rPr>
          <w:rFonts w:ascii="宋体" w:hAnsi="宋体" w:eastAsia="宋体" w:cs="宋体"/>
          <w:sz w:val="21"/>
          <w:szCs w:val="21"/>
        </w:rPr>
        <w:t>“香港特别行政区是中华人民共和国不可分离的部分。”“全国人民代表大会授权香港特别行政区依照本法的规定实行高度自治，享有行政管理权、立法权、独立的司法权和终审权。”《中华人民共和国香港特别行政区基本法》的这些条款（   ）</w:t>
      </w:r>
    </w:p>
    <w:p w14:paraId="6BE95D53">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推动了经济体制改革</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完善了民族区域自治制度</w:t>
      </w:r>
    </w:p>
    <w:p w14:paraId="283522DF">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促进了经济特区建设</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体现了“一国两制”构想</w:t>
      </w:r>
    </w:p>
    <w:p w14:paraId="2A07642C">
      <w:pPr>
        <w:widowControl w:val="0"/>
        <w:spacing w:before="0" w:after="0" w:line="360" w:lineRule="auto"/>
        <w:rPr>
          <w:sz w:val="21"/>
          <w:szCs w:val="21"/>
        </w:rPr>
      </w:pPr>
      <w:r>
        <w:rPr>
          <w:sz w:val="21"/>
          <w:szCs w:val="21"/>
        </w:rPr>
        <w:t xml:space="preserve">12. </w:t>
      </w:r>
      <w:r>
        <w:rPr>
          <w:rFonts w:ascii="宋体" w:hAnsi="宋体" w:eastAsia="宋体" w:cs="宋体"/>
          <w:sz w:val="21"/>
          <w:szCs w:val="21"/>
        </w:rPr>
        <w:t>属于如图所示文明古国的文明成果是（   ）</w:t>
      </w:r>
    </w:p>
    <w:p w14:paraId="662491B4">
      <w:pPr>
        <w:widowControl w:val="0"/>
        <w:spacing w:before="0" w:after="0" w:line="360" w:lineRule="auto"/>
        <w:rPr>
          <w:sz w:val="21"/>
          <w:szCs w:val="21"/>
        </w:rPr>
      </w:pPr>
      <w:r>
        <w:rPr>
          <w:strike w:val="0"/>
          <w:sz w:val="21"/>
          <w:szCs w:val="21"/>
          <w:u w:val="none"/>
        </w:rPr>
        <w:drawing>
          <wp:inline distT="0" distB="0" distL="114300" distR="114300">
            <wp:extent cx="1609725" cy="1524000"/>
            <wp:effectExtent l="0" t="0" r="9525" b="0"/>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609725" cy="1524000"/>
                    </a:xfrm>
                    <a:prstGeom prst="rect">
                      <a:avLst/>
                    </a:prstGeom>
                  </pic:spPr>
                </pic:pic>
              </a:graphicData>
            </a:graphic>
          </wp:inline>
        </w:drawing>
      </w:r>
    </w:p>
    <w:p w14:paraId="39FFD89E">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《汉谟拉比法典》</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《十二铜表法》</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《查士丁尼法典》</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《罗马民法大全》</w:t>
      </w:r>
    </w:p>
    <w:p w14:paraId="0A27BB07">
      <w:pPr>
        <w:widowControl w:val="0"/>
        <w:spacing w:before="0" w:after="0" w:line="360" w:lineRule="auto"/>
        <w:rPr>
          <w:sz w:val="21"/>
          <w:szCs w:val="21"/>
        </w:rPr>
      </w:pPr>
      <w:r>
        <w:rPr>
          <w:sz w:val="21"/>
          <w:szCs w:val="21"/>
        </w:rPr>
        <w:t xml:space="preserve">13. </w:t>
      </w:r>
      <w:r>
        <w:rPr>
          <w:rFonts w:ascii="宋体" w:hAnsi="宋体" w:eastAsia="宋体" w:cs="宋体"/>
          <w:sz w:val="21"/>
          <w:szCs w:val="21"/>
        </w:rPr>
        <w:t>9世纪起，法兰克盛行庄园制。农奴须自带工具无偿耕种领主自营地，一般每周3天，农忙时增加，农奴还得向领主献纳贡物和缴纳捐税。这反映了法兰克的庄园（   ）</w:t>
      </w:r>
    </w:p>
    <w:p w14:paraId="07E09D14">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采用罗马奴隶制进行生产</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存在领主对农奴的剥削</w:t>
      </w:r>
    </w:p>
    <w:p w14:paraId="5B4FFD03">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成为地方经济发展</w:t>
      </w:r>
      <w:r>
        <w:rPr>
          <w:strike w:val="0"/>
          <w:sz w:val="21"/>
          <w:szCs w:val="21"/>
          <w:u w:val="none"/>
        </w:rPr>
        <w:drawing>
          <wp:inline distT="0" distB="0" distL="114300" distR="114300">
            <wp:extent cx="133350" cy="180975"/>
            <wp:effectExtent l="0" t="0" r="0" b="8890"/>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pic:cNvPicPr>
                      <a:picLocks noChangeAspect="1"/>
                    </pic:cNvPicPr>
                  </pic:nvPicPr>
                  <pic:blipFill>
                    <a:blip r:embed="rId18"/>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中心</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通过劳动惩罚违法行为</w:t>
      </w:r>
    </w:p>
    <w:p w14:paraId="19C1B46A">
      <w:pPr>
        <w:widowControl w:val="0"/>
        <w:spacing w:before="0" w:after="0" w:line="360" w:lineRule="auto"/>
        <w:rPr>
          <w:sz w:val="21"/>
          <w:szCs w:val="21"/>
        </w:rPr>
      </w:pPr>
      <w:r>
        <w:rPr>
          <w:sz w:val="21"/>
          <w:szCs w:val="21"/>
        </w:rPr>
        <w:t xml:space="preserve">14. </w:t>
      </w:r>
      <w:r>
        <w:rPr>
          <w:rFonts w:ascii="宋体" w:hAnsi="宋体" w:eastAsia="宋体" w:cs="宋体"/>
          <w:sz w:val="21"/>
          <w:szCs w:val="21"/>
        </w:rPr>
        <w:t>制作思维导图是学习历史的方法之一。下列思维导图中的空白处应填写（   ）</w:t>
      </w:r>
    </w:p>
    <w:p w14:paraId="0CC856A2">
      <w:pPr>
        <w:widowControl w:val="0"/>
        <w:spacing w:before="0" w:after="0" w:line="360" w:lineRule="auto"/>
        <w:rPr>
          <w:sz w:val="21"/>
          <w:szCs w:val="21"/>
        </w:rPr>
      </w:pPr>
      <w:r>
        <w:rPr>
          <w:strike w:val="0"/>
          <w:sz w:val="21"/>
          <w:szCs w:val="21"/>
          <w:u w:val="none"/>
        </w:rPr>
        <w:drawing>
          <wp:inline distT="0" distB="0" distL="114300" distR="114300">
            <wp:extent cx="3219450" cy="2066925"/>
            <wp:effectExtent l="0" t="0" r="0" b="9525"/>
            <wp:docPr id="100051" name="图片 1000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3219450" cy="2066925"/>
                    </a:xfrm>
                    <a:prstGeom prst="rect">
                      <a:avLst/>
                    </a:prstGeom>
                  </pic:spPr>
                </pic:pic>
              </a:graphicData>
            </a:graphic>
          </wp:inline>
        </w:drawing>
      </w:r>
    </w:p>
    <w:p w14:paraId="31138FC9">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《资本论》的问世</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马克思主义的诞生</w:t>
      </w:r>
    </w:p>
    <w:p w14:paraId="5ED99E35">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《国际歌》的创作</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苏维埃政权的建立</w:t>
      </w:r>
      <w:r>
        <w:rPr>
          <w:strike w:val="0"/>
          <w:sz w:val="21"/>
          <w:szCs w:val="21"/>
          <w:u w:val="none"/>
        </w:rPr>
        <w:drawing>
          <wp:inline distT="0" distB="0" distL="114300" distR="114300">
            <wp:extent cx="28575" cy="28575"/>
            <wp:effectExtent l="0" t="0" r="0" b="0"/>
            <wp:docPr id="100053" name="图片 100053" descr="page numb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page number 2"/>
                    <pic:cNvPicPr>
                      <a:picLocks noChangeAspect="1"/>
                    </pic:cNvPicPr>
                  </pic:nvPicPr>
                  <pic:blipFill>
                    <a:blip r:embed="rId19"/>
                    <a:stretch>
                      <a:fillRect/>
                    </a:stretch>
                  </pic:blipFill>
                  <pic:spPr>
                    <a:xfrm>
                      <a:off x="0" y="0"/>
                      <a:ext cx="28575" cy="28575"/>
                    </a:xfrm>
                    <a:prstGeom prst="rect">
                      <a:avLst/>
                    </a:prstGeom>
                  </pic:spPr>
                </pic:pic>
              </a:graphicData>
            </a:graphic>
          </wp:inline>
        </w:drawing>
      </w:r>
    </w:p>
    <w:p w14:paraId="2396956E">
      <w:pPr>
        <w:sectPr>
          <w:headerReference r:id="rId10" w:type="default"/>
          <w:type w:val="continuous"/>
          <w:pgSz w:w="11927" w:h="16875"/>
          <w:pgMar w:top="800" w:right="1120" w:bottom="540" w:left="1120" w:header="708" w:footer="708" w:gutter="0"/>
          <w:cols w:space="708" w:num="1"/>
          <w:docGrid w:linePitch="360" w:charSpace="0"/>
        </w:sectPr>
      </w:pPr>
    </w:p>
    <w:p w14:paraId="6FCEBD52">
      <w:pPr>
        <w:widowControl w:val="0"/>
        <w:spacing w:before="0" w:after="0" w:line="360" w:lineRule="auto"/>
        <w:rPr>
          <w:sz w:val="21"/>
          <w:szCs w:val="21"/>
        </w:rPr>
      </w:pPr>
      <w:r>
        <w:rPr>
          <w:sz w:val="21"/>
          <w:szCs w:val="21"/>
        </w:rPr>
        <w:t xml:space="preserve">15. </w:t>
      </w:r>
      <w:r>
        <w:rPr>
          <w:rFonts w:ascii="宋体" w:hAnsi="宋体" w:eastAsia="宋体" w:cs="宋体"/>
          <w:sz w:val="21"/>
          <w:szCs w:val="21"/>
        </w:rPr>
        <w:t>環矣作家阿斯特丽德林格伦在1944年6月6日的日记中写道：“反攻总算来了！盟军在飞机的支援下在法国的西北部登陆。成千只运兵船和成千架飞机今天消晨穿过英吉利海峡。”日记中记载的历史事件是（   ）</w:t>
      </w:r>
    </w:p>
    <w:p w14:paraId="48868362">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凡尔登战役</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敦刻尔克大撒退</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诺曼底登陆</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斯大林格勒战役</w:t>
      </w:r>
    </w:p>
    <w:p w14:paraId="353CD883">
      <w:pPr>
        <w:widowControl w:val="0"/>
        <w:spacing w:before="0" w:after="0" w:line="360" w:lineRule="auto"/>
        <w:rPr>
          <w:sz w:val="21"/>
          <w:szCs w:val="21"/>
        </w:rPr>
      </w:pPr>
      <w:r>
        <w:rPr>
          <w:sz w:val="21"/>
          <w:szCs w:val="21"/>
        </w:rPr>
        <w:t xml:space="preserve">16. </w:t>
      </w:r>
      <w:r>
        <w:rPr>
          <w:rFonts w:ascii="宋体" w:hAnsi="宋体" w:eastAsia="宋体" w:cs="宋体"/>
          <w:sz w:val="21"/>
          <w:szCs w:val="21"/>
        </w:rPr>
        <w:t>1995年3月，欧盟委员会公布的《绿皮书》指出：“当成员国之间的贸易额占其贸易总额的60%时，使用统一货币就十分必要。”据此推断，欧元的产生（   ）</w:t>
      </w:r>
    </w:p>
    <w:p w14:paraId="02F0BD38">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取代了美元的国际地位</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象征着欧洲联合成一个国家</w:t>
      </w:r>
    </w:p>
    <w:p w14:paraId="69E0FFF7">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标志着欧洲联盟的诞生</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适应了欧盟经济发展的需要</w:t>
      </w:r>
    </w:p>
    <w:p w14:paraId="3C96C71A">
      <w:pPr>
        <w:widowControl w:val="0"/>
        <w:spacing w:before="0" w:after="0" w:line="360" w:lineRule="auto"/>
      </w:pPr>
      <w:r>
        <w:rPr>
          <w:rFonts w:ascii="宋体" w:hAnsi="宋体" w:eastAsia="宋体" w:cs="宋体"/>
          <w:b/>
          <w:bCs/>
        </w:rPr>
        <w:t>二、非选择题（本题共4小题，共52分）</w:t>
      </w:r>
    </w:p>
    <w:p w14:paraId="06AB0378">
      <w:pPr>
        <w:widowControl w:val="0"/>
        <w:spacing w:before="0" w:after="0" w:line="360" w:lineRule="auto"/>
        <w:rPr>
          <w:sz w:val="21"/>
          <w:szCs w:val="21"/>
        </w:rPr>
      </w:pPr>
      <w:r>
        <w:rPr>
          <w:sz w:val="21"/>
          <w:szCs w:val="21"/>
        </w:rPr>
        <w:t xml:space="preserve">17. </w:t>
      </w:r>
      <w:r>
        <w:rPr>
          <w:rFonts w:ascii="宋体" w:hAnsi="宋体" w:eastAsia="宋体" w:cs="宋体"/>
          <w:sz w:val="21"/>
          <w:szCs w:val="21"/>
        </w:rPr>
        <w:t>在中国文化漫长的发展历程中，最能从整体上表现其神韵的核心精神，是尚“和”。阅读下列材料，回答问题。</w:t>
      </w:r>
    </w:p>
    <w:p w14:paraId="43C05B12">
      <w:pPr>
        <w:widowControl w:val="0"/>
        <w:spacing w:before="0" w:after="0" w:line="360" w:lineRule="auto"/>
        <w:ind w:firstLine="450"/>
        <w:rPr>
          <w:sz w:val="21"/>
          <w:szCs w:val="21"/>
        </w:rPr>
      </w:pPr>
      <w:r>
        <w:rPr>
          <w:rFonts w:ascii="楷体" w:hAnsi="楷体" w:eastAsia="楷体" w:cs="楷体"/>
          <w:sz w:val="21"/>
          <w:szCs w:val="21"/>
        </w:rPr>
        <w:t>材料一  先秦经典《周易》蕴含了尚“和”精神，认为人类社会和自然界必须和合、平衡才能顺利发展。庄子认为“与天和得‘天乐’”，主张清静无为、物代两忘。尚“和”精神还表现为在处理问题时避免走向极端。但也不要作无原则的调和，故孔子说：“君子和而不同”。此外。诸如“家和万事兴”“和衷共济”等训条，都彰显了尚“和”精神。</w:t>
      </w:r>
    </w:p>
    <w:p w14:paraId="1F52DCE0">
      <w:pPr>
        <w:widowControl w:val="0"/>
        <w:spacing w:before="0" w:after="0" w:line="360" w:lineRule="auto"/>
        <w:jc w:val="right"/>
        <w:rPr>
          <w:sz w:val="21"/>
          <w:szCs w:val="21"/>
        </w:rPr>
      </w:pPr>
      <w:r>
        <w:rPr>
          <w:rFonts w:ascii="楷体" w:hAnsi="楷体" w:eastAsia="楷体" w:cs="楷体"/>
          <w:sz w:val="21"/>
          <w:szCs w:val="21"/>
        </w:rPr>
        <w:t>——摘编自郑师渠《中国文化通史》</w:t>
      </w:r>
    </w:p>
    <w:p w14:paraId="48EA2B44">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）根据材料一、指出道家和儒家关于尚“和”精神的主张。</w:t>
      </w:r>
    </w:p>
    <w:p w14:paraId="242F15C1">
      <w:pPr>
        <w:widowControl w:val="0"/>
        <w:spacing w:before="0" w:after="0" w:line="360" w:lineRule="auto"/>
        <w:ind w:firstLine="450"/>
        <w:rPr>
          <w:sz w:val="21"/>
          <w:szCs w:val="21"/>
        </w:rPr>
      </w:pPr>
      <w:r>
        <w:rPr>
          <w:rFonts w:ascii="楷体" w:hAnsi="楷体" w:eastAsia="楷体" w:cs="楷体"/>
          <w:sz w:val="21"/>
          <w:szCs w:val="21"/>
        </w:rPr>
        <w:t xml:space="preserve">材料二  </w:t>
      </w:r>
    </w:p>
    <w:p w14:paraId="1F96E3B9">
      <w:pPr>
        <w:widowControl w:val="0"/>
        <w:spacing w:before="0" w:after="0" w:line="360" w:lineRule="auto"/>
        <w:rPr>
          <w:sz w:val="21"/>
          <w:szCs w:val="21"/>
        </w:rPr>
      </w:pPr>
      <w:r>
        <w:rPr>
          <w:strike w:val="0"/>
          <w:sz w:val="21"/>
          <w:szCs w:val="21"/>
          <w:u w:val="none"/>
        </w:rPr>
        <w:drawing>
          <wp:inline distT="0" distB="0" distL="114300" distR="114300">
            <wp:extent cx="4419600" cy="1400175"/>
            <wp:effectExtent l="0" t="0" r="0" b="9525"/>
            <wp:docPr id="100067" name="图片 1000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4419600" cy="1400175"/>
                    </a:xfrm>
                    <a:prstGeom prst="rect">
                      <a:avLst/>
                    </a:prstGeom>
                  </pic:spPr>
                </pic:pic>
              </a:graphicData>
            </a:graphic>
          </wp:inline>
        </w:drawing>
      </w:r>
    </w:p>
    <w:p w14:paraId="4154DA37">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）根据材料二并结合所学知识，列举两例我国古代在统一多民族国家形成与发展过程中体现尚“和”精神的史实。</w:t>
      </w:r>
    </w:p>
    <w:p w14:paraId="005A8946">
      <w:pPr>
        <w:widowControl w:val="0"/>
        <w:spacing w:before="0" w:after="0" w:line="360" w:lineRule="auto"/>
        <w:ind w:firstLine="450"/>
        <w:rPr>
          <w:sz w:val="21"/>
          <w:szCs w:val="21"/>
        </w:rPr>
      </w:pPr>
      <w:r>
        <w:rPr>
          <w:rFonts w:ascii="楷体" w:hAnsi="楷体" w:eastAsia="楷体" w:cs="楷体"/>
          <w:sz w:val="21"/>
          <w:szCs w:val="21"/>
        </w:rPr>
        <w:t>材料三  当前，世界上还有一些地方处在战火硝烟之中。中国人民深知和平的珍贵，我们愿同国际社会一道，以人类前途为怀、以人民福祉为念，推动构建人类命运共同体，建设更加美好的世界。</w:t>
      </w:r>
    </w:p>
    <w:p w14:paraId="648CEAE3">
      <w:pPr>
        <w:widowControl w:val="0"/>
        <w:spacing w:before="0" w:after="0" w:line="360" w:lineRule="auto"/>
        <w:jc w:val="right"/>
        <w:rPr>
          <w:sz w:val="21"/>
          <w:szCs w:val="21"/>
        </w:rPr>
      </w:pPr>
      <w:r>
        <w:rPr>
          <w:rFonts w:ascii="楷体" w:hAnsi="楷体" w:eastAsia="楷体" w:cs="楷体"/>
          <w:sz w:val="21"/>
          <w:szCs w:val="21"/>
        </w:rPr>
        <w:t>——摘自《国家主席习近平发表二○二四年新年贺词》（《人民日报》2024年1月1日）</w:t>
      </w:r>
    </w:p>
    <w:p w14:paraId="1AA51B9A">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）根据材料一、二、三并结合所学知识，分析尚“和”精神的现实意义。</w:t>
      </w:r>
    </w:p>
    <w:p w14:paraId="67DBD439">
      <w:pPr>
        <w:widowControl w:val="0"/>
        <w:spacing w:before="0" w:after="0" w:line="360" w:lineRule="auto"/>
        <w:rPr>
          <w:sz w:val="21"/>
          <w:szCs w:val="21"/>
        </w:rPr>
      </w:pPr>
      <w:r>
        <w:rPr>
          <w:sz w:val="21"/>
          <w:szCs w:val="21"/>
        </w:rPr>
        <w:t xml:space="preserve">18. </w:t>
      </w:r>
      <w:r>
        <w:rPr>
          <w:rFonts w:ascii="宋体" w:hAnsi="宋体" w:eastAsia="宋体" w:cs="宋体"/>
          <w:sz w:val="21"/>
          <w:szCs w:val="21"/>
        </w:rPr>
        <w:t>湖湘大地是一方红色热土，在追求民族独立和人民解放、努力实现国家富强和人民幸福的伟大征程中</w:t>
      </w:r>
      <w:r>
        <w:rPr>
          <w:strike w:val="0"/>
          <w:sz w:val="21"/>
          <w:szCs w:val="21"/>
          <w:u w:val="none"/>
        </w:rPr>
        <w:drawing>
          <wp:inline distT="0" distB="0" distL="114300" distR="114300">
            <wp:extent cx="28575" cy="28575"/>
            <wp:effectExtent l="0" t="0" r="0" b="0"/>
            <wp:docPr id="100069" name="图片 100069" descr="page numb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图片 100069" descr="page number 3"/>
                    <pic:cNvPicPr>
                      <a:picLocks noChangeAspect="1"/>
                    </pic:cNvPicPr>
                  </pic:nvPicPr>
                  <pic:blipFill>
                    <a:blip r:embed="rId19"/>
                    <a:stretch>
                      <a:fillRect/>
                    </a:stretch>
                  </pic:blipFill>
                  <pic:spPr>
                    <a:xfrm>
                      <a:off x="0" y="0"/>
                      <a:ext cx="28575" cy="28575"/>
                    </a:xfrm>
                    <a:prstGeom prst="rect">
                      <a:avLst/>
                    </a:prstGeom>
                  </pic:spPr>
                </pic:pic>
              </a:graphicData>
            </a:graphic>
          </wp:inline>
        </w:drawing>
      </w:r>
    </w:p>
    <w:p w14:paraId="12EE7F84">
      <w:pPr>
        <w:sectPr>
          <w:headerReference r:id="rId11" w:type="default"/>
          <w:type w:val="continuous"/>
          <w:pgSz w:w="11927" w:h="16875"/>
          <w:pgMar w:top="800" w:right="1120" w:bottom="540" w:left="1120" w:header="708" w:footer="708" w:gutter="0"/>
          <w:cols w:space="708" w:num="1"/>
          <w:docGrid w:linePitch="360" w:charSpace="0"/>
        </w:sectPr>
      </w:pPr>
    </w:p>
    <w:p w14:paraId="0DA986AD">
      <w:pPr>
        <w:widowControl w:val="0"/>
        <w:spacing w:before="0" w:after="0" w:line="360" w:lineRule="auto"/>
        <w:rPr>
          <w:sz w:val="21"/>
          <w:szCs w:val="21"/>
        </w:rPr>
      </w:pPr>
      <w:r>
        <w:rPr>
          <w:rFonts w:ascii="宋体" w:hAnsi="宋体" w:eastAsia="宋体" w:cs="宋体"/>
          <w:sz w:val="21"/>
          <w:szCs w:val="21"/>
        </w:rPr>
        <w:t>涌现出了一大批杰出人物，徐特立便是其中之一。阅读下列材料，回答问题。</w:t>
      </w:r>
    </w:p>
    <w:p w14:paraId="3C09D425">
      <w:pPr>
        <w:widowControl w:val="0"/>
        <w:spacing w:before="0" w:after="0" w:line="360" w:lineRule="auto"/>
        <w:ind w:firstLine="450"/>
        <w:rPr>
          <w:sz w:val="21"/>
          <w:szCs w:val="21"/>
        </w:rPr>
      </w:pPr>
      <w:r>
        <w:rPr>
          <w:rFonts w:ascii="楷体" w:hAnsi="楷体" w:eastAsia="楷体" w:cs="楷体"/>
          <w:sz w:val="21"/>
          <w:szCs w:val="21"/>
        </w:rPr>
        <w:t>材料</w:t>
      </w:r>
    </w:p>
    <w:tbl>
      <w:tblPr>
        <w:tblStyle w:val="4"/>
        <w:tblW w:w="7365"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1725"/>
        <w:gridCol w:w="5640"/>
      </w:tblGrid>
      <w:tr w14:paraId="5CB3BF7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1725" w:type="dxa"/>
            <w:tcBorders>
              <w:bottom w:val="single" w:color="000000" w:sz="6" w:space="0"/>
              <w:right w:val="single" w:color="000000" w:sz="6" w:space="0"/>
            </w:tcBorders>
            <w:noWrap w:val="0"/>
            <w:tcMar>
              <w:top w:w="76" w:type="dxa"/>
              <w:left w:w="120" w:type="dxa"/>
              <w:bottom w:w="76" w:type="dxa"/>
              <w:right w:w="120" w:type="dxa"/>
            </w:tcMar>
            <w:vAlign w:val="center"/>
          </w:tcPr>
          <w:p w14:paraId="441F2A66">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时间</w:t>
            </w:r>
          </w:p>
        </w:tc>
        <w:tc>
          <w:tcPr>
            <w:tcW w:w="5640" w:type="dxa"/>
            <w:tcBorders>
              <w:left w:val="single" w:color="000000" w:sz="6" w:space="0"/>
              <w:bottom w:val="single" w:color="000000" w:sz="6" w:space="0"/>
            </w:tcBorders>
            <w:noWrap w:val="0"/>
            <w:tcMar>
              <w:top w:w="76" w:type="dxa"/>
              <w:left w:w="120" w:type="dxa"/>
              <w:bottom w:w="76" w:type="dxa"/>
              <w:right w:w="120" w:type="dxa"/>
            </w:tcMar>
            <w:vAlign w:val="center"/>
          </w:tcPr>
          <w:p w14:paraId="69EE747E">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事件</w:t>
            </w:r>
          </w:p>
        </w:tc>
      </w:tr>
      <w:tr w14:paraId="15326E3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1725"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5F16EE0C">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1877</w:t>
            </w:r>
            <w:r>
              <w:rPr>
                <w:rFonts w:ascii="楷体" w:hAnsi="楷体" w:eastAsia="楷体" w:cs="楷体"/>
                <w:b w:val="0"/>
                <w:bCs w:val="0"/>
                <w:i w:val="0"/>
                <w:iCs w:val="0"/>
                <w:smallCaps w:val="0"/>
                <w:color w:val="000000"/>
                <w:sz w:val="21"/>
                <w:szCs w:val="21"/>
              </w:rPr>
              <w:t>年（出生）</w:t>
            </w:r>
          </w:p>
        </w:tc>
        <w:tc>
          <w:tcPr>
            <w:tcW w:w="5640"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1C8B90C5">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出生于湖南省善化县五美乡（今长沙县江胥俱）</w:t>
            </w:r>
          </w:p>
        </w:tc>
      </w:tr>
      <w:tr w14:paraId="5B21200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1725"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53F685A0">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1898</w:t>
            </w:r>
            <w:r>
              <w:rPr>
                <w:rFonts w:ascii="楷体" w:hAnsi="楷体" w:eastAsia="楷体" w:cs="楷体"/>
                <w:b w:val="0"/>
                <w:bCs w:val="0"/>
                <w:i w:val="0"/>
                <w:iCs w:val="0"/>
                <w:smallCaps w:val="0"/>
                <w:color w:val="000000"/>
                <w:sz w:val="21"/>
                <w:szCs w:val="21"/>
              </w:rPr>
              <w:t>年（</w:t>
            </w:r>
            <w:r>
              <w:rPr>
                <w:b w:val="0"/>
                <w:bCs w:val="0"/>
                <w:i w:val="0"/>
                <w:iCs w:val="0"/>
                <w:smallCaps w:val="0"/>
                <w:color w:val="000000"/>
                <w:sz w:val="21"/>
                <w:szCs w:val="21"/>
              </w:rPr>
              <w:t>21</w:t>
            </w:r>
            <w:r>
              <w:rPr>
                <w:rFonts w:ascii="楷体" w:hAnsi="楷体" w:eastAsia="楷体" w:cs="楷体"/>
                <w:b w:val="0"/>
                <w:bCs w:val="0"/>
                <w:i w:val="0"/>
                <w:iCs w:val="0"/>
                <w:smallCaps w:val="0"/>
                <w:color w:val="000000"/>
                <w:sz w:val="21"/>
                <w:szCs w:val="21"/>
              </w:rPr>
              <w:t>岁）</w:t>
            </w:r>
          </w:p>
        </w:tc>
        <w:tc>
          <w:tcPr>
            <w:tcW w:w="5640"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689B4ECB">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经常阅读《湘报》（该报广泛宣传组新变法思想），一度以康（有为）梁（启超）的信徒白居</w:t>
            </w:r>
          </w:p>
        </w:tc>
      </w:tr>
      <w:tr w14:paraId="35C304C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1725"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5C6E802F">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1911</w:t>
            </w:r>
            <w:r>
              <w:rPr>
                <w:rFonts w:ascii="楷体" w:hAnsi="楷体" w:eastAsia="楷体" w:cs="楷体"/>
                <w:b w:val="0"/>
                <w:bCs w:val="0"/>
                <w:i w:val="0"/>
                <w:iCs w:val="0"/>
                <w:smallCaps w:val="0"/>
                <w:color w:val="000000"/>
                <w:sz w:val="21"/>
                <w:szCs w:val="21"/>
              </w:rPr>
              <w:t>年（</w:t>
            </w:r>
            <w:r>
              <w:rPr>
                <w:b w:val="0"/>
                <w:bCs w:val="0"/>
                <w:i w:val="0"/>
                <w:iCs w:val="0"/>
                <w:smallCaps w:val="0"/>
                <w:color w:val="000000"/>
                <w:sz w:val="21"/>
                <w:szCs w:val="21"/>
              </w:rPr>
              <w:t>34</w:t>
            </w:r>
            <w:r>
              <w:rPr>
                <w:rFonts w:ascii="楷体" w:hAnsi="楷体" w:eastAsia="楷体" w:cs="楷体"/>
                <w:b w:val="0"/>
                <w:bCs w:val="0"/>
                <w:i w:val="0"/>
                <w:iCs w:val="0"/>
                <w:smallCaps w:val="0"/>
                <w:color w:val="000000"/>
                <w:sz w:val="21"/>
                <w:szCs w:val="21"/>
              </w:rPr>
              <w:t>岁）</w:t>
            </w:r>
          </w:p>
        </w:tc>
        <w:tc>
          <w:tcPr>
            <w:tcW w:w="5640"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2C2C9DA7">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找革命党人了解革命形势，成为孙中山的追随者，加入阿盟会</w:t>
            </w:r>
          </w:p>
        </w:tc>
      </w:tr>
      <w:tr w14:paraId="64EF7A1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1725"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4F9DAA5C">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1919</w:t>
            </w:r>
            <w:r>
              <w:rPr>
                <w:rFonts w:ascii="楷体" w:hAnsi="楷体" w:eastAsia="楷体" w:cs="楷体"/>
                <w:b w:val="0"/>
                <w:bCs w:val="0"/>
                <w:i w:val="0"/>
                <w:iCs w:val="0"/>
                <w:smallCaps w:val="0"/>
                <w:color w:val="000000"/>
                <w:sz w:val="21"/>
                <w:szCs w:val="21"/>
              </w:rPr>
              <w:t>年（</w:t>
            </w:r>
            <w:r>
              <w:rPr>
                <w:b w:val="0"/>
                <w:bCs w:val="0"/>
                <w:i w:val="0"/>
                <w:iCs w:val="0"/>
                <w:smallCaps w:val="0"/>
                <w:color w:val="000000"/>
                <w:sz w:val="21"/>
                <w:szCs w:val="21"/>
              </w:rPr>
              <w:t>42</w:t>
            </w:r>
            <w:r>
              <w:rPr>
                <w:rFonts w:ascii="楷体" w:hAnsi="楷体" w:eastAsia="楷体" w:cs="楷体"/>
                <w:b w:val="0"/>
                <w:bCs w:val="0"/>
                <w:i w:val="0"/>
                <w:iCs w:val="0"/>
                <w:smallCaps w:val="0"/>
                <w:color w:val="000000"/>
                <w:sz w:val="21"/>
                <w:szCs w:val="21"/>
              </w:rPr>
              <w:t>岁）</w:t>
            </w:r>
          </w:p>
        </w:tc>
        <w:tc>
          <w:tcPr>
            <w:tcW w:w="5640"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1C5994B5">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响应五四运动，在长沙组织开展抵制日货活动</w:t>
            </w:r>
          </w:p>
        </w:tc>
      </w:tr>
      <w:tr w14:paraId="3BCFBE9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1725"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3B7364BD">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1927</w:t>
            </w:r>
            <w:r>
              <w:rPr>
                <w:rFonts w:ascii="楷体" w:hAnsi="楷体" w:eastAsia="楷体" w:cs="楷体"/>
                <w:b w:val="0"/>
                <w:bCs w:val="0"/>
                <w:i w:val="0"/>
                <w:iCs w:val="0"/>
                <w:smallCaps w:val="0"/>
                <w:color w:val="000000"/>
                <w:sz w:val="21"/>
                <w:szCs w:val="21"/>
              </w:rPr>
              <w:t>年（</w:t>
            </w:r>
            <w:r>
              <w:rPr>
                <w:b w:val="0"/>
                <w:bCs w:val="0"/>
                <w:i w:val="0"/>
                <w:iCs w:val="0"/>
                <w:smallCaps w:val="0"/>
                <w:color w:val="000000"/>
                <w:sz w:val="21"/>
                <w:szCs w:val="21"/>
              </w:rPr>
              <w:t>50</w:t>
            </w:r>
            <w:r>
              <w:rPr>
                <w:rFonts w:ascii="楷体" w:hAnsi="楷体" w:eastAsia="楷体" w:cs="楷体"/>
                <w:b w:val="0"/>
                <w:bCs w:val="0"/>
                <w:i w:val="0"/>
                <w:iCs w:val="0"/>
                <w:smallCaps w:val="0"/>
                <w:color w:val="000000"/>
                <w:sz w:val="21"/>
                <w:szCs w:val="21"/>
              </w:rPr>
              <w:t>岁）</w:t>
            </w:r>
          </w:p>
        </w:tc>
        <w:tc>
          <w:tcPr>
            <w:tcW w:w="5640"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5B6049B3">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加入中国共产党。参加南昌起又</w:t>
            </w:r>
          </w:p>
        </w:tc>
      </w:tr>
      <w:tr w14:paraId="07B0C3B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1725"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19755CA8">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1934</w:t>
            </w:r>
            <w:r>
              <w:rPr>
                <w:rFonts w:ascii="楷体" w:hAnsi="楷体" w:eastAsia="楷体" w:cs="楷体"/>
                <w:b w:val="0"/>
                <w:bCs w:val="0"/>
                <w:i w:val="0"/>
                <w:iCs w:val="0"/>
                <w:smallCaps w:val="0"/>
                <w:color w:val="000000"/>
                <w:sz w:val="21"/>
                <w:szCs w:val="21"/>
              </w:rPr>
              <w:t>年（</w:t>
            </w:r>
            <w:r>
              <w:rPr>
                <w:b w:val="0"/>
                <w:bCs w:val="0"/>
                <w:i w:val="0"/>
                <w:iCs w:val="0"/>
                <w:smallCaps w:val="0"/>
                <w:color w:val="000000"/>
                <w:sz w:val="21"/>
                <w:szCs w:val="21"/>
              </w:rPr>
              <w:t>57</w:t>
            </w:r>
            <w:r>
              <w:rPr>
                <w:rFonts w:ascii="楷体" w:hAnsi="楷体" w:eastAsia="楷体" w:cs="楷体"/>
                <w:b w:val="0"/>
                <w:bCs w:val="0"/>
                <w:i w:val="0"/>
                <w:iCs w:val="0"/>
                <w:smallCaps w:val="0"/>
                <w:color w:val="000000"/>
                <w:sz w:val="21"/>
                <w:szCs w:val="21"/>
              </w:rPr>
              <w:t>岁）</w:t>
            </w:r>
          </w:p>
        </w:tc>
        <w:tc>
          <w:tcPr>
            <w:tcW w:w="5640"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7A20A9D1">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参加长征</w:t>
            </w:r>
          </w:p>
        </w:tc>
      </w:tr>
      <w:tr w14:paraId="0EFA19E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1725"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1EDC65EF">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1937</w:t>
            </w:r>
            <w:r>
              <w:rPr>
                <w:rFonts w:ascii="楷体" w:hAnsi="楷体" w:eastAsia="楷体" w:cs="楷体"/>
                <w:b w:val="0"/>
                <w:bCs w:val="0"/>
                <w:i w:val="0"/>
                <w:iCs w:val="0"/>
                <w:smallCaps w:val="0"/>
                <w:color w:val="000000"/>
                <w:sz w:val="21"/>
                <w:szCs w:val="21"/>
              </w:rPr>
              <w:t>年（</w:t>
            </w:r>
            <w:r>
              <w:rPr>
                <w:b w:val="0"/>
                <w:bCs w:val="0"/>
                <w:i w:val="0"/>
                <w:iCs w:val="0"/>
                <w:smallCaps w:val="0"/>
                <w:color w:val="000000"/>
                <w:sz w:val="21"/>
                <w:szCs w:val="21"/>
              </w:rPr>
              <w:t>60</w:t>
            </w:r>
            <w:r>
              <w:rPr>
                <w:rFonts w:ascii="楷体" w:hAnsi="楷体" w:eastAsia="楷体" w:cs="楷体"/>
                <w:b w:val="0"/>
                <w:bCs w:val="0"/>
                <w:i w:val="0"/>
                <w:iCs w:val="0"/>
                <w:smallCaps w:val="0"/>
                <w:color w:val="000000"/>
                <w:sz w:val="21"/>
                <w:szCs w:val="21"/>
              </w:rPr>
              <w:t>岁）</w:t>
            </w:r>
          </w:p>
        </w:tc>
        <w:tc>
          <w:tcPr>
            <w:tcW w:w="5640"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4F3BAFE8">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筹办八路军驻湘通讯处，动员群众支援抗日战争</w:t>
            </w:r>
          </w:p>
        </w:tc>
      </w:tr>
      <w:tr w14:paraId="40C2BF2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1725"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559260E0">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1949</w:t>
            </w:r>
            <w:r>
              <w:rPr>
                <w:rFonts w:ascii="楷体" w:hAnsi="楷体" w:eastAsia="楷体" w:cs="楷体"/>
                <w:b w:val="0"/>
                <w:bCs w:val="0"/>
                <w:i w:val="0"/>
                <w:iCs w:val="0"/>
                <w:smallCaps w:val="0"/>
                <w:color w:val="000000"/>
                <w:sz w:val="21"/>
                <w:szCs w:val="21"/>
              </w:rPr>
              <w:t>年（</w:t>
            </w:r>
            <w:r>
              <w:rPr>
                <w:b w:val="0"/>
                <w:bCs w:val="0"/>
                <w:i w:val="0"/>
                <w:iCs w:val="0"/>
                <w:smallCaps w:val="0"/>
                <w:color w:val="000000"/>
                <w:sz w:val="21"/>
                <w:szCs w:val="21"/>
              </w:rPr>
              <w:t>72</w:t>
            </w:r>
            <w:r>
              <w:rPr>
                <w:rFonts w:ascii="楷体" w:hAnsi="楷体" w:eastAsia="楷体" w:cs="楷体"/>
                <w:b w:val="0"/>
                <w:bCs w:val="0"/>
                <w:i w:val="0"/>
                <w:iCs w:val="0"/>
                <w:smallCaps w:val="0"/>
                <w:color w:val="000000"/>
                <w:sz w:val="21"/>
                <w:szCs w:val="21"/>
              </w:rPr>
              <w:t>岁）</w:t>
            </w:r>
          </w:p>
        </w:tc>
        <w:tc>
          <w:tcPr>
            <w:tcW w:w="5640"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658F4B12">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出席开国大典</w:t>
            </w:r>
          </w:p>
        </w:tc>
      </w:tr>
      <w:tr w14:paraId="370F8D2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1725"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3741E53B">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1954</w:t>
            </w:r>
            <w:r>
              <w:rPr>
                <w:rFonts w:ascii="楷体" w:hAnsi="楷体" w:eastAsia="楷体" w:cs="楷体"/>
                <w:b w:val="0"/>
                <w:bCs w:val="0"/>
                <w:i w:val="0"/>
                <w:iCs w:val="0"/>
                <w:smallCaps w:val="0"/>
                <w:color w:val="000000"/>
                <w:sz w:val="21"/>
                <w:szCs w:val="21"/>
              </w:rPr>
              <w:t>年（</w:t>
            </w:r>
            <w:r>
              <w:rPr>
                <w:b w:val="0"/>
                <w:bCs w:val="0"/>
                <w:i w:val="0"/>
                <w:iCs w:val="0"/>
                <w:smallCaps w:val="0"/>
                <w:color w:val="000000"/>
                <w:sz w:val="21"/>
                <w:szCs w:val="21"/>
              </w:rPr>
              <w:t>77</w:t>
            </w:r>
            <w:r>
              <w:rPr>
                <w:rFonts w:ascii="楷体" w:hAnsi="楷体" w:eastAsia="楷体" w:cs="楷体"/>
                <w:b w:val="0"/>
                <w:bCs w:val="0"/>
                <w:i w:val="0"/>
                <w:iCs w:val="0"/>
                <w:smallCaps w:val="0"/>
                <w:color w:val="000000"/>
                <w:sz w:val="21"/>
                <w:szCs w:val="21"/>
              </w:rPr>
              <w:t>岁）</w:t>
            </w:r>
          </w:p>
        </w:tc>
        <w:tc>
          <w:tcPr>
            <w:tcW w:w="5640"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46AFC778">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以湖南省人大代表的身份，出席第一届全国人民代表大会</w:t>
            </w:r>
          </w:p>
        </w:tc>
      </w:tr>
      <w:tr w14:paraId="1E26825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1725" w:type="dxa"/>
            <w:tcBorders>
              <w:top w:val="single" w:color="000000" w:sz="6" w:space="0"/>
              <w:right w:val="single" w:color="000000" w:sz="6" w:space="0"/>
            </w:tcBorders>
            <w:noWrap w:val="0"/>
            <w:tcMar>
              <w:top w:w="76" w:type="dxa"/>
              <w:left w:w="120" w:type="dxa"/>
              <w:bottom w:w="76" w:type="dxa"/>
              <w:right w:w="120" w:type="dxa"/>
            </w:tcMar>
            <w:vAlign w:val="center"/>
          </w:tcPr>
          <w:p w14:paraId="071EF4AF">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1968</w:t>
            </w:r>
            <w:r>
              <w:rPr>
                <w:rFonts w:ascii="楷体" w:hAnsi="楷体" w:eastAsia="楷体" w:cs="楷体"/>
                <w:b w:val="0"/>
                <w:bCs w:val="0"/>
                <w:i w:val="0"/>
                <w:iCs w:val="0"/>
                <w:smallCaps w:val="0"/>
                <w:color w:val="000000"/>
                <w:sz w:val="21"/>
                <w:szCs w:val="21"/>
              </w:rPr>
              <w:t>年（</w:t>
            </w:r>
            <w:r>
              <w:rPr>
                <w:b w:val="0"/>
                <w:bCs w:val="0"/>
                <w:i w:val="0"/>
                <w:iCs w:val="0"/>
                <w:smallCaps w:val="0"/>
                <w:color w:val="000000"/>
                <w:sz w:val="21"/>
                <w:szCs w:val="21"/>
              </w:rPr>
              <w:t>91</w:t>
            </w:r>
            <w:r>
              <w:rPr>
                <w:rFonts w:ascii="楷体" w:hAnsi="楷体" w:eastAsia="楷体" w:cs="楷体"/>
                <w:b w:val="0"/>
                <w:bCs w:val="0"/>
                <w:i w:val="0"/>
                <w:iCs w:val="0"/>
                <w:smallCaps w:val="0"/>
                <w:color w:val="000000"/>
                <w:sz w:val="21"/>
                <w:szCs w:val="21"/>
              </w:rPr>
              <w:t>岁）</w:t>
            </w:r>
          </w:p>
        </w:tc>
        <w:tc>
          <w:tcPr>
            <w:tcW w:w="5640" w:type="dxa"/>
            <w:tcBorders>
              <w:top w:val="single" w:color="000000" w:sz="6" w:space="0"/>
              <w:left w:val="single" w:color="000000" w:sz="6" w:space="0"/>
            </w:tcBorders>
            <w:noWrap w:val="0"/>
            <w:tcMar>
              <w:top w:w="76" w:type="dxa"/>
              <w:left w:w="120" w:type="dxa"/>
              <w:bottom w:w="76" w:type="dxa"/>
              <w:right w:w="120" w:type="dxa"/>
            </w:tcMar>
            <w:vAlign w:val="center"/>
          </w:tcPr>
          <w:p w14:paraId="57489E44">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在北京逝世</w:t>
            </w:r>
          </w:p>
        </w:tc>
      </w:tr>
    </w:tbl>
    <w:p w14:paraId="276701B1">
      <w:pPr>
        <w:widowControl w:val="0"/>
        <w:spacing w:before="0" w:after="0" w:line="360" w:lineRule="auto"/>
        <w:jc w:val="right"/>
        <w:rPr>
          <w:sz w:val="21"/>
          <w:szCs w:val="21"/>
        </w:rPr>
      </w:pPr>
      <w:r>
        <w:rPr>
          <w:rFonts w:ascii="楷体" w:hAnsi="楷体" w:eastAsia="楷体" w:cs="楷体"/>
          <w:sz w:val="21"/>
          <w:szCs w:val="21"/>
        </w:rPr>
        <w:t>——根据《徐特立年谱》整理</w:t>
      </w:r>
    </w:p>
    <w:p w14:paraId="001684C5">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）根据材料，指出徐特立从“康梁的信徒”转变为“孙中山的追随者”所体现的思想变化。</w:t>
      </w:r>
    </w:p>
    <w:p w14:paraId="4AE44F38">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）结合材料中徐特立参与</w:t>
      </w:r>
      <w:r>
        <w:rPr>
          <w:strike w:val="0"/>
          <w:sz w:val="21"/>
          <w:szCs w:val="21"/>
          <w:u w:val="none"/>
        </w:rPr>
        <w:drawing>
          <wp:inline distT="0" distB="0" distL="114300" distR="114300">
            <wp:extent cx="133350" cy="180975"/>
            <wp:effectExtent l="0" t="0" r="0" b="8890"/>
            <wp:docPr id="100083" name="图片 100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3" name="图片 100083"/>
                    <pic:cNvPicPr>
                      <a:picLocks noChangeAspect="1"/>
                    </pic:cNvPicPr>
                  </pic:nvPicPr>
                  <pic:blipFill>
                    <a:blip r:embed="rId18"/>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历史事件，说明新民主主义革命的艰巨性。</w:t>
      </w:r>
    </w:p>
    <w:p w14:paraId="55D45C80">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）每个人的前途命运都与国家和民族的前途命运紧密相连。试分析使徐特立救国主张多次转变的因</w:t>
      </w:r>
      <w:r>
        <w:rPr>
          <w:strike w:val="0"/>
          <w:sz w:val="21"/>
          <w:szCs w:val="21"/>
          <w:u w:val="none"/>
        </w:rPr>
        <w:drawing>
          <wp:inline distT="0" distB="0" distL="114300" distR="114300">
            <wp:extent cx="28575" cy="28575"/>
            <wp:effectExtent l="0" t="0" r="0" b="0"/>
            <wp:docPr id="100085" name="图片 100085" descr="page numb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5" name="图片 100085" descr="page number 4"/>
                    <pic:cNvPicPr>
                      <a:picLocks noChangeAspect="1"/>
                    </pic:cNvPicPr>
                  </pic:nvPicPr>
                  <pic:blipFill>
                    <a:blip r:embed="rId19"/>
                    <a:stretch>
                      <a:fillRect/>
                    </a:stretch>
                  </pic:blipFill>
                  <pic:spPr>
                    <a:xfrm>
                      <a:off x="0" y="0"/>
                      <a:ext cx="28575" cy="28575"/>
                    </a:xfrm>
                    <a:prstGeom prst="rect">
                      <a:avLst/>
                    </a:prstGeom>
                  </pic:spPr>
                </pic:pic>
              </a:graphicData>
            </a:graphic>
          </wp:inline>
        </w:drawing>
      </w:r>
    </w:p>
    <w:p w14:paraId="7B587927">
      <w:pPr>
        <w:sectPr>
          <w:headerReference r:id="rId12" w:type="default"/>
          <w:type w:val="continuous"/>
          <w:pgSz w:w="11927" w:h="16875"/>
          <w:pgMar w:top="800" w:right="1120" w:bottom="540" w:left="1120" w:header="708" w:footer="708" w:gutter="0"/>
          <w:cols w:space="708" w:num="1"/>
          <w:docGrid w:linePitch="360" w:charSpace="0"/>
        </w:sectPr>
      </w:pPr>
    </w:p>
    <w:p w14:paraId="453A1188">
      <w:pPr>
        <w:widowControl w:val="0"/>
        <w:spacing w:before="0" w:after="0" w:line="360" w:lineRule="auto"/>
        <w:rPr>
          <w:sz w:val="21"/>
          <w:szCs w:val="21"/>
        </w:rPr>
      </w:pPr>
      <w:r>
        <w:rPr>
          <w:rFonts w:ascii="宋体" w:hAnsi="宋体" w:eastAsia="宋体" w:cs="宋体"/>
          <w:sz w:val="21"/>
          <w:szCs w:val="21"/>
        </w:rPr>
        <w:t>素。</w:t>
      </w:r>
    </w:p>
    <w:p w14:paraId="385D71EE">
      <w:pPr>
        <w:widowControl w:val="0"/>
        <w:spacing w:before="0" w:after="0" w:line="360" w:lineRule="auto"/>
        <w:rPr>
          <w:sz w:val="21"/>
          <w:szCs w:val="21"/>
        </w:rPr>
      </w:pPr>
      <w:r>
        <w:rPr>
          <w:sz w:val="21"/>
          <w:szCs w:val="21"/>
        </w:rPr>
        <w:t xml:space="preserve">19. </w:t>
      </w:r>
      <w:r>
        <w:rPr>
          <w:rFonts w:ascii="宋体" w:hAnsi="宋体" w:eastAsia="宋体" w:cs="宋体"/>
          <w:sz w:val="21"/>
          <w:szCs w:val="21"/>
        </w:rPr>
        <w:t>某历史社团组织开展“探寻农业密码”主题学习活动，请你参与完成。</w:t>
      </w:r>
    </w:p>
    <w:p w14:paraId="5B5E1FC8">
      <w:pPr>
        <w:widowControl w:val="0"/>
        <w:spacing w:before="0" w:after="0" w:line="360" w:lineRule="auto"/>
        <w:ind w:firstLine="420"/>
        <w:rPr>
          <w:sz w:val="21"/>
          <w:szCs w:val="21"/>
        </w:rPr>
      </w:pPr>
      <w:r>
        <w:rPr>
          <w:rFonts w:ascii="楷体" w:hAnsi="楷体" w:eastAsia="楷体" w:cs="楷体"/>
          <w:sz w:val="21"/>
          <w:szCs w:val="21"/>
        </w:rPr>
        <w:t>活动一  【农业与科技】</w:t>
      </w:r>
    </w:p>
    <w:p w14:paraId="1061695F">
      <w:pPr>
        <w:widowControl w:val="0"/>
        <w:spacing w:before="0" w:after="0" w:line="360" w:lineRule="auto"/>
        <w:ind w:firstLine="420"/>
        <w:rPr>
          <w:sz w:val="21"/>
          <w:szCs w:val="21"/>
        </w:rPr>
      </w:pPr>
      <w:r>
        <w:rPr>
          <w:rFonts w:ascii="楷体" w:hAnsi="楷体" w:eastAsia="楷体" w:cs="楷体"/>
          <w:sz w:val="21"/>
          <w:szCs w:val="21"/>
        </w:rPr>
        <w:t>同学们查阅白寿彝主编的《中国通史第三卷》，整理了如下信息：</w:t>
      </w:r>
    </w:p>
    <w:tbl>
      <w:tblPr>
        <w:tblStyle w:val="4"/>
        <w:tblW w:w="7365"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7365"/>
      </w:tblGrid>
      <w:tr w14:paraId="2118A9D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7365" w:type="dxa"/>
            <w:noWrap w:val="0"/>
            <w:tcMar>
              <w:top w:w="76" w:type="dxa"/>
              <w:left w:w="120" w:type="dxa"/>
              <w:bottom w:w="76" w:type="dxa"/>
              <w:right w:w="120" w:type="dxa"/>
            </w:tcMar>
            <w:vAlign w:val="center"/>
          </w:tcPr>
          <w:p w14:paraId="18E9FA73">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·《夏小正》记战了有关农耕、蚕桑生产的物候、气象，为农业生产服务</w:t>
            </w:r>
          </w:p>
          <w:p w14:paraId="04FACF0B">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·我国有“药食同源”之说，姜和杜既是调味品，也是祛风除寒的药品</w:t>
            </w:r>
          </w:p>
        </w:tc>
      </w:tr>
    </w:tbl>
    <w:p w14:paraId="012F86F2">
      <w:pPr>
        <w:widowControl w:val="0"/>
        <w:spacing w:before="0" w:after="0" w:line="360" w:lineRule="auto"/>
        <w:ind w:firstLine="420"/>
        <w:rPr>
          <w:sz w:val="21"/>
          <w:szCs w:val="21"/>
        </w:rPr>
      </w:pPr>
    </w:p>
    <w:p w14:paraId="5B93788B">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）根据上述信息并结合所学知识，分析农业对我国古代科技的影响。写出两例秦汉至明清时期与农业相关的科技成果。</w:t>
      </w:r>
    </w:p>
    <w:p w14:paraId="0EBD6B36">
      <w:pPr>
        <w:widowControl w:val="0"/>
        <w:spacing w:before="0" w:after="0" w:line="360" w:lineRule="auto"/>
        <w:ind w:firstLine="420"/>
        <w:rPr>
          <w:sz w:val="21"/>
          <w:szCs w:val="21"/>
        </w:rPr>
      </w:pPr>
      <w:r>
        <w:rPr>
          <w:rFonts w:ascii="楷体" w:hAnsi="楷体" w:eastAsia="楷体" w:cs="楷体"/>
          <w:sz w:val="21"/>
          <w:szCs w:val="21"/>
        </w:rPr>
        <w:t>活动二  【农业与世界】</w:t>
      </w:r>
    </w:p>
    <w:p w14:paraId="06C76045">
      <w:pPr>
        <w:widowControl w:val="0"/>
        <w:spacing w:before="0" w:after="0" w:line="360" w:lineRule="auto"/>
        <w:ind w:firstLine="420"/>
        <w:rPr>
          <w:sz w:val="21"/>
          <w:szCs w:val="21"/>
        </w:rPr>
      </w:pPr>
      <w:r>
        <w:rPr>
          <w:rFonts w:ascii="楷体" w:hAnsi="楷体" w:eastAsia="楷体" w:cs="楷体"/>
          <w:sz w:val="21"/>
          <w:szCs w:val="21"/>
        </w:rPr>
        <w:t>同学们了解世界主要农作物的传播情况。做了如下记录：</w:t>
      </w:r>
    </w:p>
    <w:tbl>
      <w:tblPr>
        <w:tblStyle w:val="4"/>
        <w:tblW w:w="7365"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2460"/>
        <w:gridCol w:w="2010"/>
        <w:gridCol w:w="2895"/>
      </w:tblGrid>
      <w:tr w14:paraId="4507BCF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2460" w:type="dxa"/>
            <w:tcBorders>
              <w:bottom w:val="single" w:color="000000" w:sz="6" w:space="0"/>
              <w:right w:val="single" w:color="000000" w:sz="6" w:space="0"/>
            </w:tcBorders>
            <w:noWrap w:val="0"/>
            <w:tcMar>
              <w:top w:w="76" w:type="dxa"/>
              <w:left w:w="120" w:type="dxa"/>
              <w:bottom w:w="76" w:type="dxa"/>
              <w:right w:w="120" w:type="dxa"/>
            </w:tcMar>
            <w:vAlign w:val="center"/>
          </w:tcPr>
          <w:p w14:paraId="4AFC3183">
            <w:pPr>
              <w:widowControl w:val="0"/>
              <w:spacing w:before="0" w:after="0" w:line="360" w:lineRule="auto"/>
              <w:rPr>
                <w:b w:val="0"/>
                <w:bCs w:val="0"/>
                <w:i w:val="0"/>
                <w:iCs w:val="0"/>
                <w:smallCaps w:val="0"/>
                <w:color w:val="000000"/>
                <w:sz w:val="21"/>
                <w:szCs w:val="21"/>
              </w:rPr>
            </w:pPr>
            <w:r>
              <w:rPr>
                <w:b w:val="0"/>
                <w:bCs w:val="0"/>
                <w:i w:val="0"/>
                <w:iCs w:val="0"/>
                <w:smallCaps w:val="0"/>
                <w:strike w:val="0"/>
                <w:color w:val="000000"/>
                <w:sz w:val="21"/>
                <w:szCs w:val="21"/>
                <w:u w:val="none"/>
              </w:rPr>
              <w:drawing>
                <wp:inline distT="0" distB="0" distL="114300" distR="114300">
                  <wp:extent cx="1266825" cy="1743075"/>
                  <wp:effectExtent l="0" t="0" r="9525" b="9525"/>
                  <wp:docPr id="100099" name="图片 10009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9" name="图片 100099"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266825" cy="1743075"/>
                          </a:xfrm>
                          <a:prstGeom prst="rect">
                            <a:avLst/>
                          </a:prstGeom>
                        </pic:spPr>
                      </pic:pic>
                    </a:graphicData>
                  </a:graphic>
                </wp:inline>
              </w:drawing>
            </w:r>
          </w:p>
        </w:tc>
        <w:tc>
          <w:tcPr>
            <w:tcW w:w="2010" w:type="dxa"/>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0C00CE8C">
            <w:pPr>
              <w:widowControl w:val="0"/>
              <w:spacing w:before="0" w:after="0" w:line="360" w:lineRule="auto"/>
              <w:rPr>
                <w:b w:val="0"/>
                <w:bCs w:val="0"/>
                <w:i w:val="0"/>
                <w:iCs w:val="0"/>
                <w:smallCaps w:val="0"/>
                <w:color w:val="000000"/>
                <w:sz w:val="21"/>
                <w:szCs w:val="21"/>
              </w:rPr>
            </w:pPr>
            <w:r>
              <w:rPr>
                <w:b w:val="0"/>
                <w:bCs w:val="0"/>
                <w:i w:val="0"/>
                <w:iCs w:val="0"/>
                <w:smallCaps w:val="0"/>
                <w:strike w:val="0"/>
                <w:color w:val="000000"/>
                <w:sz w:val="21"/>
                <w:szCs w:val="21"/>
                <w:u w:val="none"/>
              </w:rPr>
              <w:drawing>
                <wp:inline distT="0" distB="0" distL="114300" distR="114300">
                  <wp:extent cx="990600" cy="1609725"/>
                  <wp:effectExtent l="0" t="0" r="0" b="9525"/>
                  <wp:docPr id="100101" name="图片 10010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1" name="图片 10010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990600" cy="1609725"/>
                          </a:xfrm>
                          <a:prstGeom prst="rect">
                            <a:avLst/>
                          </a:prstGeom>
                        </pic:spPr>
                      </pic:pic>
                    </a:graphicData>
                  </a:graphic>
                </wp:inline>
              </w:drawing>
            </w:r>
          </w:p>
        </w:tc>
        <w:tc>
          <w:tcPr>
            <w:tcW w:w="2895" w:type="dxa"/>
            <w:tcBorders>
              <w:left w:val="single" w:color="000000" w:sz="6" w:space="0"/>
              <w:bottom w:val="single" w:color="000000" w:sz="6" w:space="0"/>
            </w:tcBorders>
            <w:noWrap w:val="0"/>
            <w:tcMar>
              <w:top w:w="76" w:type="dxa"/>
              <w:left w:w="120" w:type="dxa"/>
              <w:bottom w:w="76" w:type="dxa"/>
              <w:right w:w="120" w:type="dxa"/>
            </w:tcMar>
            <w:vAlign w:val="center"/>
          </w:tcPr>
          <w:p w14:paraId="3C7E0F69">
            <w:pPr>
              <w:widowControl w:val="0"/>
              <w:spacing w:before="0" w:after="0" w:line="360" w:lineRule="auto"/>
              <w:rPr>
                <w:b w:val="0"/>
                <w:bCs w:val="0"/>
                <w:i w:val="0"/>
                <w:iCs w:val="0"/>
                <w:smallCaps w:val="0"/>
                <w:color w:val="000000"/>
                <w:sz w:val="21"/>
                <w:szCs w:val="21"/>
              </w:rPr>
            </w:pPr>
            <w:r>
              <w:rPr>
                <w:b w:val="0"/>
                <w:bCs w:val="0"/>
                <w:i w:val="0"/>
                <w:iCs w:val="0"/>
                <w:smallCaps w:val="0"/>
                <w:strike w:val="0"/>
                <w:color w:val="000000"/>
                <w:sz w:val="21"/>
                <w:szCs w:val="21"/>
                <w:u w:val="none"/>
              </w:rPr>
              <w:drawing>
                <wp:inline distT="0" distB="0" distL="114300" distR="114300">
                  <wp:extent cx="1552575" cy="1695450"/>
                  <wp:effectExtent l="0" t="0" r="9525" b="0"/>
                  <wp:docPr id="100103" name="图片 1001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3" name="图片 10010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552575" cy="1695450"/>
                          </a:xfrm>
                          <a:prstGeom prst="rect">
                            <a:avLst/>
                          </a:prstGeom>
                        </pic:spPr>
                      </pic:pic>
                    </a:graphicData>
                  </a:graphic>
                </wp:inline>
              </w:drawing>
            </w:r>
          </w:p>
        </w:tc>
      </w:tr>
      <w:tr w14:paraId="5E0D7A8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2460" w:type="dxa"/>
            <w:tcBorders>
              <w:top w:val="single" w:color="000000" w:sz="6" w:space="0"/>
              <w:right w:val="single" w:color="000000" w:sz="6" w:space="0"/>
            </w:tcBorders>
            <w:noWrap w:val="0"/>
            <w:tcMar>
              <w:top w:w="76" w:type="dxa"/>
              <w:left w:w="120" w:type="dxa"/>
              <w:bottom w:w="76" w:type="dxa"/>
              <w:right w:w="120" w:type="dxa"/>
            </w:tcMar>
            <w:vAlign w:val="center"/>
          </w:tcPr>
          <w:p w14:paraId="7E240D12">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16</w:t>
            </w:r>
            <w:r>
              <w:rPr>
                <w:rFonts w:ascii="楷体" w:hAnsi="楷体" w:eastAsia="楷体" w:cs="楷体"/>
                <w:b w:val="0"/>
                <w:bCs w:val="0"/>
                <w:i w:val="0"/>
                <w:iCs w:val="0"/>
                <w:smallCaps w:val="0"/>
                <w:color w:val="000000"/>
                <w:sz w:val="21"/>
                <w:szCs w:val="21"/>
              </w:rPr>
              <w:t>世纪美国人绘制的马铃薯图</w:t>
            </w:r>
          </w:p>
        </w:tc>
        <w:tc>
          <w:tcPr>
            <w:tcW w:w="2010" w:type="dxa"/>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7D70BF5F">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清朝吴其濬绘制的玉米图</w:t>
            </w:r>
          </w:p>
        </w:tc>
        <w:tc>
          <w:tcPr>
            <w:tcW w:w="2895" w:type="dxa"/>
            <w:tcBorders>
              <w:top w:val="single" w:color="000000" w:sz="6" w:space="0"/>
              <w:left w:val="single" w:color="000000" w:sz="6" w:space="0"/>
            </w:tcBorders>
            <w:noWrap w:val="0"/>
            <w:tcMar>
              <w:top w:w="76" w:type="dxa"/>
              <w:left w:w="120" w:type="dxa"/>
              <w:bottom w:w="76" w:type="dxa"/>
              <w:right w:w="120" w:type="dxa"/>
            </w:tcMar>
            <w:vAlign w:val="center"/>
          </w:tcPr>
          <w:p w14:paraId="20FBEB89">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早期英属北美殖民地农作物分布图</w:t>
            </w:r>
          </w:p>
        </w:tc>
      </w:tr>
    </w:tbl>
    <w:p w14:paraId="42BF36AB">
      <w:pPr>
        <w:widowControl w:val="0"/>
        <w:spacing w:before="0" w:after="0" w:line="360" w:lineRule="auto"/>
        <w:rPr>
          <w:sz w:val="21"/>
          <w:szCs w:val="21"/>
        </w:rPr>
      </w:pPr>
    </w:p>
    <w:p w14:paraId="2F42C5EE">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）根据上述信息并结合所学知识，概括当时农作物传播的特点。</w:t>
      </w:r>
    </w:p>
    <w:p w14:paraId="6C22F926">
      <w:pPr>
        <w:widowControl w:val="0"/>
        <w:spacing w:before="0" w:after="0" w:line="360" w:lineRule="auto"/>
        <w:ind w:firstLine="420"/>
        <w:rPr>
          <w:sz w:val="21"/>
          <w:szCs w:val="21"/>
        </w:rPr>
      </w:pPr>
      <w:r>
        <w:rPr>
          <w:rFonts w:ascii="楷体" w:hAnsi="楷体" w:eastAsia="楷体" w:cs="楷体"/>
          <w:sz w:val="21"/>
          <w:szCs w:val="21"/>
        </w:rPr>
        <w:t>活动三  【农业与未来】</w:t>
      </w:r>
    </w:p>
    <w:p w14:paraId="17A26968">
      <w:pPr>
        <w:widowControl w:val="0"/>
        <w:spacing w:before="0" w:after="0" w:line="360" w:lineRule="auto"/>
        <w:ind w:firstLine="420"/>
        <w:rPr>
          <w:sz w:val="21"/>
          <w:szCs w:val="21"/>
        </w:rPr>
      </w:pPr>
      <w:r>
        <w:rPr>
          <w:rFonts w:ascii="楷体" w:hAnsi="楷体" w:eastAsia="楷体" w:cs="楷体"/>
          <w:sz w:val="21"/>
          <w:szCs w:val="21"/>
        </w:rPr>
        <w:t>同学们关注世界粮食安全问题，对此展开了讨论：</w:t>
      </w:r>
    </w:p>
    <w:p w14:paraId="0E984281">
      <w:pPr>
        <w:widowControl w:val="0"/>
        <w:spacing w:before="0" w:after="0" w:line="360" w:lineRule="auto"/>
        <w:rPr>
          <w:sz w:val="21"/>
          <w:szCs w:val="21"/>
        </w:rPr>
      </w:pPr>
      <w:r>
        <w:rPr>
          <w:strike w:val="0"/>
          <w:sz w:val="21"/>
          <w:szCs w:val="21"/>
          <w:u w:val="none"/>
        </w:rPr>
        <w:drawing>
          <wp:inline distT="0" distB="0" distL="114300" distR="114300">
            <wp:extent cx="3724275" cy="1638300"/>
            <wp:effectExtent l="0" t="0" r="9525" b="0"/>
            <wp:docPr id="100105" name="图片 1001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5" name="图片 100105"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3724275" cy="1638300"/>
                    </a:xfrm>
                    <a:prstGeom prst="rect">
                      <a:avLst/>
                    </a:prstGeom>
                  </pic:spPr>
                </pic:pic>
              </a:graphicData>
            </a:graphic>
          </wp:inline>
        </w:drawing>
      </w:r>
    </w:p>
    <w:p w14:paraId="4F021FDD">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）根据活动一、二、三并结合所学知识，针对世界性粮食短缺和饥饿问题，提出你</w:t>
      </w:r>
      <w:r>
        <w:rPr>
          <w:strike w:val="0"/>
          <w:sz w:val="21"/>
          <w:szCs w:val="21"/>
          <w:u w:val="none"/>
        </w:rPr>
        <w:drawing>
          <wp:inline distT="0" distB="0" distL="114300" distR="114300">
            <wp:extent cx="133350" cy="180975"/>
            <wp:effectExtent l="0" t="0" r="0" b="8890"/>
            <wp:docPr id="100107" name="图片 100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7" name="图片 100107"/>
                    <pic:cNvPicPr>
                      <a:picLocks noChangeAspect="1"/>
                    </pic:cNvPicPr>
                  </pic:nvPicPr>
                  <pic:blipFill>
                    <a:blip r:embed="rId18"/>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建议。</w:t>
      </w:r>
      <w:r>
        <w:rPr>
          <w:strike w:val="0"/>
          <w:sz w:val="21"/>
          <w:szCs w:val="21"/>
          <w:u w:val="none"/>
        </w:rPr>
        <w:drawing>
          <wp:inline distT="0" distB="0" distL="114300" distR="114300">
            <wp:extent cx="28575" cy="28575"/>
            <wp:effectExtent l="0" t="0" r="0" b="0"/>
            <wp:docPr id="100109" name="图片 100109" descr="page numbe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9" name="图片 100109" descr="page number 5"/>
                    <pic:cNvPicPr>
                      <a:picLocks noChangeAspect="1"/>
                    </pic:cNvPicPr>
                  </pic:nvPicPr>
                  <pic:blipFill>
                    <a:blip r:embed="rId19"/>
                    <a:stretch>
                      <a:fillRect/>
                    </a:stretch>
                  </pic:blipFill>
                  <pic:spPr>
                    <a:xfrm>
                      <a:off x="0" y="0"/>
                      <a:ext cx="28575" cy="28575"/>
                    </a:xfrm>
                    <a:prstGeom prst="rect">
                      <a:avLst/>
                    </a:prstGeom>
                  </pic:spPr>
                </pic:pic>
              </a:graphicData>
            </a:graphic>
          </wp:inline>
        </w:drawing>
      </w:r>
    </w:p>
    <w:p w14:paraId="113D88AA">
      <w:pPr>
        <w:sectPr>
          <w:headerReference r:id="rId13" w:type="default"/>
          <w:type w:val="continuous"/>
          <w:pgSz w:w="11927" w:h="16875"/>
          <w:pgMar w:top="800" w:right="1120" w:bottom="540" w:left="1120" w:header="708" w:footer="708" w:gutter="0"/>
          <w:cols w:space="708" w:num="1"/>
          <w:docGrid w:linePitch="360" w:charSpace="0"/>
        </w:sectPr>
      </w:pPr>
    </w:p>
    <w:p w14:paraId="34EE79A5">
      <w:pPr>
        <w:widowControl w:val="0"/>
        <w:spacing w:before="0" w:after="0" w:line="360" w:lineRule="auto"/>
        <w:rPr>
          <w:sz w:val="21"/>
          <w:szCs w:val="21"/>
        </w:rPr>
      </w:pPr>
      <w:bookmarkStart w:id="0" w:name="_GoBack"/>
      <w:bookmarkEnd w:id="0"/>
      <w:r>
        <w:rPr>
          <w:sz w:val="21"/>
          <w:szCs w:val="21"/>
        </w:rPr>
        <w:t xml:space="preserve">20. </w:t>
      </w:r>
      <w:r>
        <w:rPr>
          <w:rFonts w:ascii="宋体" w:hAnsi="宋体" w:eastAsia="宋体" w:cs="宋体"/>
          <w:sz w:val="21"/>
          <w:szCs w:val="21"/>
        </w:rPr>
        <w:t>阅读下列材料，回答问题。</w:t>
      </w:r>
    </w:p>
    <w:p w14:paraId="2947A5E0">
      <w:pPr>
        <w:widowControl w:val="0"/>
        <w:spacing w:before="0" w:after="0" w:line="360" w:lineRule="auto"/>
        <w:ind w:firstLine="450"/>
        <w:rPr>
          <w:sz w:val="21"/>
          <w:szCs w:val="21"/>
        </w:rPr>
      </w:pPr>
      <w:r>
        <w:rPr>
          <w:rFonts w:ascii="楷体" w:hAnsi="楷体" w:eastAsia="楷体" w:cs="楷体"/>
          <w:sz w:val="21"/>
          <w:szCs w:val="21"/>
        </w:rPr>
        <w:t>材料  资本主义的发展既是经济的，也是政治和思想的；既是一国的，也是多国的；既是解放的，也是压迫的；既具有破坏性，也具有创造性。</w:t>
      </w:r>
    </w:p>
    <w:p w14:paraId="19865F9F">
      <w:pPr>
        <w:widowControl w:val="0"/>
        <w:spacing w:before="0" w:after="0" w:line="360" w:lineRule="auto"/>
        <w:jc w:val="right"/>
        <w:rPr>
          <w:sz w:val="21"/>
          <w:szCs w:val="21"/>
        </w:rPr>
      </w:pPr>
      <w:r>
        <w:rPr>
          <w:rFonts w:ascii="楷体" w:hAnsi="楷体" w:eastAsia="楷体" w:cs="楷体"/>
          <w:sz w:val="21"/>
          <w:szCs w:val="21"/>
        </w:rPr>
        <w:t>——摘编自【法】米歇尔·博德《资本主义史1500-1980》</w:t>
      </w:r>
    </w:p>
    <w:p w14:paraId="5D2BF2B0">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）根据材料并结合所学知识，列举两个17-19世纪走上资本主义道路的国家。</w:t>
      </w:r>
    </w:p>
    <w:p w14:paraId="008DD1E9">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）材料从四个方面概括了资本主义的发展，请任选一个方面作为观点，结合所学知识加以阐述或说明。（要求：观点明确，史论结合，条理清楚）</w:t>
      </w:r>
    </w:p>
    <w:p w14:paraId="21D29ADD">
      <w:pPr>
        <w:widowControl w:val="0"/>
        <w:spacing w:before="0" w:after="0" w:line="360" w:lineRule="auto"/>
        <w:rPr>
          <w:sz w:val="21"/>
          <w:szCs w:val="21"/>
        </w:rPr>
      </w:pPr>
      <w:r>
        <w:rPr>
          <w:strike w:val="0"/>
          <w:sz w:val="21"/>
          <w:szCs w:val="21"/>
          <w:u w:val="none"/>
        </w:rPr>
        <w:drawing>
          <wp:inline distT="0" distB="0" distL="114300" distR="114300">
            <wp:extent cx="28575" cy="28575"/>
            <wp:effectExtent l="0" t="0" r="0" b="0"/>
            <wp:docPr id="100123" name="图片 100123" descr="page number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3" name="图片 100123" descr="page number 6"/>
                    <pic:cNvPicPr>
                      <a:picLocks noChangeAspect="1"/>
                    </pic:cNvPicPr>
                  </pic:nvPicPr>
                  <pic:blipFill>
                    <a:blip r:embed="rId19"/>
                    <a:stretch>
                      <a:fillRect/>
                    </a:stretch>
                  </pic:blipFill>
                  <pic:spPr>
                    <a:xfrm>
                      <a:off x="0" y="0"/>
                      <a:ext cx="28575" cy="28575"/>
                    </a:xfrm>
                    <a:prstGeom prst="rect">
                      <a:avLst/>
                    </a:prstGeom>
                  </pic:spPr>
                </pic:pic>
              </a:graphicData>
            </a:graphic>
          </wp:inline>
        </w:drawing>
      </w:r>
    </w:p>
    <w:p w14:paraId="38D20E7D"/>
    <w:sectPr>
      <w:headerReference r:id="rId14" w:type="default"/>
      <w:type w:val="continuous"/>
      <w:pgSz w:w="11927" w:h="16875"/>
      <w:pgMar w:top="800" w:right="1120" w:bottom="540" w:left="112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993CA7">
    <w:pPr>
      <w:pStyle w:val="2"/>
      <w:pBdr>
        <w:bottom w:val="none" w:color="auto" w:sz="0" w:space="0"/>
      </w:pBdr>
      <w:jc w:val="center"/>
      <w:rPr>
        <w:rFonts w:hint="eastAsia" w:eastAsia="宋体"/>
        <w:lang w:eastAsia="zh-CN"/>
      </w:rPr>
    </w:pPr>
    <w:r>
      <w:rPr>
        <w:rFonts w:hint="eastAsia" w:eastAsia="宋体"/>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E004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EE85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2878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C625A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DEC77">
    <w:pPr>
      <w:pStyle w:val="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A9E3F5">
    <w:pPr>
      <w:pStyle w:val="3"/>
      <w:pBdr>
        <w:bottom w:val="none" w:color="auto" w:sz="0" w:space="1"/>
      </w:pBdr>
      <w:rPr>
        <w:rFonts w:hint="eastAsia"/>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37EB88">
    <w:pPr>
      <w:pStyle w:val="3"/>
      <w:pBdr>
        <w:bottom w:val="none" w:color="auto" w:sz="0" w:space="1"/>
      </w:pBdr>
      <w:rPr>
        <w:rFonts w:hint="eastAsia"/>
        <w:lang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58F62">
    <w:pPr>
      <w:pStyle w:val="3"/>
      <w:pBdr>
        <w:bottom w:val="none" w:color="auto" w:sz="0" w:space="1"/>
      </w:pBdr>
      <w:rPr>
        <w:rFonts w:hint="eastAsia"/>
        <w:lang w:eastAsia="zh-CN"/>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85DC5">
    <w:pPr>
      <w:pStyle w:val="3"/>
      <w:pBdr>
        <w:bottom w:val="none" w:color="auto" w:sz="0" w:space="1"/>
      </w:pBdr>
      <w:rPr>
        <w:rFonts w:hint="eastAsia"/>
        <w:lang w:eastAsia="zh-CN"/>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EAB9A">
    <w:pPr>
      <w:pStyle w:val="3"/>
      <w:pBdr>
        <w:bottom w:val="none" w:color="auto" w:sz="0" w:space="1"/>
      </w:pBdr>
      <w:rPr>
        <w:rFonts w:hint="eastAsia"/>
        <w:lang w:eastAsia="zh-CN"/>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F4BCF6">
    <w:pPr>
      <w:pStyle w:val="3"/>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285420"/>
    <w:rsid w:val="00A77B3E"/>
    <w:rsid w:val="00CA2A55"/>
    <w:rsid w:val="24303B8A"/>
    <w:rsid w:val="48465D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image" Target="media/image13.png"/><Relationship Id="rId27" Type="http://schemas.openxmlformats.org/officeDocument/2006/relationships/image" Target="media/image12.png"/><Relationship Id="rId26" Type="http://schemas.openxmlformats.org/officeDocument/2006/relationships/image" Target="media/image11.png"/><Relationship Id="rId25" Type="http://schemas.openxmlformats.org/officeDocument/2006/relationships/image" Target="media/image10.png"/><Relationship Id="rId24" Type="http://schemas.openxmlformats.org/officeDocument/2006/relationships/image" Target="media/image9.png"/><Relationship Id="rId23" Type="http://schemas.openxmlformats.org/officeDocument/2006/relationships/image" Target="media/image8.png"/><Relationship Id="rId22" Type="http://schemas.openxmlformats.org/officeDocument/2006/relationships/image" Target="media/image7.png"/><Relationship Id="rId21" Type="http://schemas.openxmlformats.org/officeDocument/2006/relationships/image" Target="media/image6.png"/><Relationship Id="rId20" Type="http://schemas.openxmlformats.org/officeDocument/2006/relationships/image" Target="media/image5.png"/><Relationship Id="rId2" Type="http://schemas.openxmlformats.org/officeDocument/2006/relationships/settings" Target="settings.xml"/><Relationship Id="rId19" Type="http://schemas.openxmlformats.org/officeDocument/2006/relationships/image" Target="media/image4.png"/><Relationship Id="rId18" Type="http://schemas.openxmlformats.org/officeDocument/2006/relationships/image" Target="media/image3.png"/><Relationship Id="rId17" Type="http://schemas.openxmlformats.org/officeDocument/2006/relationships/image" Target="media/image2.png"/><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header" Target="header9.xml"/><Relationship Id="rId13" Type="http://schemas.openxmlformats.org/officeDocument/2006/relationships/header" Target="header8.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6</Pages>
  <Words>3322</Words>
  <Characters>3567</Characters>
  <Lines>1</Lines>
  <Paragraphs>1</Paragraphs>
  <TotalTime>0</TotalTime>
  <ScaleCrop>false</ScaleCrop>
  <LinksUpToDate>false</LinksUpToDate>
  <CharactersWithSpaces>3754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2024-06-23T15:12:00Z</dcterms:created>
  <dc:creator>Administrator</dc:creator>
  <cp:lastModifiedBy>上帝掷骰子吗</cp:lastModifiedBy>
  <dcterms:modified xsi:type="dcterms:W3CDTF">2026-02-09T06:12:41Z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DFFB8A021DD841698DD3134A8B5C82F9_12</vt:lpwstr>
  </property>
  <property fmtid="{D5CDD505-2E9C-101B-9397-08002B2CF9AE}" pid="4" name="KSOTemplateDocerSaveRecord">
    <vt:lpwstr>eyJoZGlkIjoiMjljNjk0N2RhMTc0NzI3ZTQwZWEyZWMyMzA2NzliMDQiLCJ1c2VySWQiOiI3ODUwOTA2ODcifQ==</vt:lpwstr>
  </property>
</Properties>
</file>