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28C0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11887200</wp:posOffset>
            </wp:positionV>
            <wp:extent cx="431800" cy="279400"/>
            <wp:effectExtent l="0" t="0" r="6350" b="635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年山西省中考历史试题</w:t>
      </w:r>
    </w:p>
    <w:p w14:paraId="501840E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8834B6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分。在每小题的四个选项中，只有一个最符合题意，请选出并在答题卡上将该项涂黑。</w:t>
      </w:r>
    </w:p>
    <w:p w14:paraId="456E7DB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年是中国甲辰龙年。远古时期，中华大地上就普遍流行着对龙的崇拜。下列出土于不同地区史前时期文化遗址中的龙形器物，共同印证了（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9B02774">
      <w:pPr>
        <w:spacing w:line="360" w:lineRule="auto"/>
        <w:jc w:val="left"/>
      </w:pPr>
      <w:r>
        <w:drawing>
          <wp:inline distT="0" distB="0" distL="114300" distR="114300">
            <wp:extent cx="1162050" cy="1190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</w:rPr>
        <w:t xml:space="preserve">           </w:t>
      </w:r>
    </w:p>
    <w:p w14:paraId="4B09113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图一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彩绘龙纹陶盘（山西陶寺遗址）</w:t>
      </w:r>
      <w:r>
        <w:rPr>
          <w:rFonts w:ascii="Times New Roman" w:hAnsi="Times New Roman" w:eastAsia="Times New Roman" w:cs="Times New Roman"/>
          <w:color w:val="auto"/>
        </w:rPr>
        <w:t xml:space="preserve">        </w:t>
      </w:r>
    </w:p>
    <w:p w14:paraId="19293A9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drawing>
          <wp:inline distT="0" distB="0" distL="114300" distR="114300">
            <wp:extent cx="981075" cy="1323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9B78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图二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玉猪龙（内蒙古红山文化遗址）</w:t>
      </w:r>
    </w:p>
    <w:p w14:paraId="37CD2E75">
      <w:pPr>
        <w:spacing w:line="360" w:lineRule="auto"/>
        <w:jc w:val="left"/>
      </w:pPr>
      <w:r>
        <w:drawing>
          <wp:inline distT="0" distB="0" distL="114300" distR="114300">
            <wp:extent cx="1066800" cy="1171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B3AF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图三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玉龙（安徽凌家滩遗址）</w:t>
      </w:r>
    </w:p>
    <w:p w14:paraId="2103C9E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中原地区较高的文明程度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玉器制造业的水平高超</w:t>
      </w:r>
    </w:p>
    <w:p w14:paraId="0A0B62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中华文化多元一体的特点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黄河流域孕育早期国家</w:t>
      </w:r>
    </w:p>
    <w:p w14:paraId="74CB0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史记·高祖本纪》记载，刘邦率军到咸阳后，约法三章：“杀人者死，伤人及盗抵罪，余悉除去秦法。”还记载，高祖曰：“此三者（张良、萧何和韩信），皆人杰也，吾能用之，此吾所以取天下也。项羽有一范增而不能用，此其所以为我擒也”。材料描述的是刘邦夺取天下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6403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</w:t>
      </w:r>
    </w:p>
    <w:p w14:paraId="4D446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绘画是人类对美的追求的直观表现。赏析下面两幅绘画作品，从中可以得出二者在技艺上（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72"/>
        <w:gridCol w:w="2475"/>
        <w:gridCol w:w="1307"/>
        <w:gridCol w:w="3126"/>
      </w:tblGrid>
      <w:tr w14:paraId="5057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BB6B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42925" cy="34290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2F65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《女史箴图》（局部）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1EF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作者：顾恺之（东晋）</w:t>
            </w:r>
          </w:p>
          <w:p w14:paraId="038FDE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作品风格：线条优美活泼，注重人物神态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47" name="图片 100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图片 10004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刻画，以形写神，用笔细劲连绵，富有个性。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91C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57200" cy="30480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23B6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《送子天王图》（局部）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574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作者：吴道子（唐）</w:t>
            </w:r>
          </w:p>
          <w:p w14:paraId="318E8B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作品风格：吸收顾恺之的画风，注重线条，笔法简练；又改革传统线描法，融入晕染法的立体效果，颇有动感。</w:t>
            </w:r>
          </w:p>
        </w:tc>
      </w:tr>
    </w:tbl>
    <w:p w14:paraId="2BEBACE0">
      <w:pPr>
        <w:spacing w:line="360" w:lineRule="auto"/>
        <w:jc w:val="left"/>
        <w:textAlignment w:val="center"/>
        <w:rPr>
          <w:color w:val="000000"/>
        </w:rPr>
      </w:pPr>
    </w:p>
    <w:p w14:paraId="1B5427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生动描绘了宫廷女官的生活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表现出继承基础上的创新</w:t>
      </w:r>
    </w:p>
    <w:p w14:paraId="33B591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细腻表现了开放的社会风气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借鉴西方绘画的创作手法</w:t>
      </w:r>
    </w:p>
    <w:p w14:paraId="57DCC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含嘉仓是隋朝在洛阳修建的最大的国家粮库。经考古发掘（如下图），遗址面积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多万平方千米，有数百个粮窖。这种规模宏大的仓窖，不仅数目繁多，而且库藏巨大，在全国运河地区普遍建立。这些仓窖遗址可用于研究隋朝（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3FD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543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5F7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国家统一的条件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政治制度的创新</w:t>
      </w:r>
    </w:p>
    <w:p w14:paraId="287D65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商业发展的水平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财政经济的状况</w:t>
      </w:r>
    </w:p>
    <w:p w14:paraId="00992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赵匡胤当皇帝的第二年，大臣赵普针对“方镇太重，君弱臣强”的状况，提出：“稍夺其权，制其钱谷，收其精兵，则天下自安矣。”宋太祖为此采取的举措中与“制其钱谷”相符的是（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9CB4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设置枢密院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设立通判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设置转运使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设立市舶司</w:t>
      </w:r>
    </w:p>
    <w:p w14:paraId="278F0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某历史学习小组围绕“走近明清遗迹·感知民族交融”这一主题，准备在公众号推送一篇文章，请为其选一幅合适的配图（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F7A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7239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1066800" cy="6572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1038225" cy="7239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962025" cy="6858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247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唐蕃会盟碑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敦煌莫高窟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台湾赤崁楼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新疆伊犁将军府</w:t>
      </w:r>
    </w:p>
    <w:p w14:paraId="42DA4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陈旭麓在《近代中国社会的新陈代谢》中指出：“中国人认真地对民族战争背后的内容作出反应，并形成一种社会思潮而波及各个阶层，则无疑开始于第二次鸦片战争后。”第二次鸦片战争后体现这种“社会思潮”的主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2EE3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“师夷长技以自强”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“思想自由，兼容并包”</w:t>
      </w:r>
    </w:p>
    <w:p w14:paraId="26250C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“变者天下之公理也”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“外争主权，内除国贼”</w:t>
      </w:r>
    </w:p>
    <w:p w14:paraId="5337C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1929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底，党召开的一次会议上确立了思想建党、政治建军原则，规定红军是一个执行革命的政治任务的武装集团，必须绝对服从共产党的领导，必须担负打仗、筹款和做群众工作的任务，必须加强政治工作。这次会议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2820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八七会议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中华苏维埃第一次全国代表大会</w:t>
      </w:r>
    </w:p>
    <w:p w14:paraId="30BBFF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古田会议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中国共产党第七次全国代表大会</w:t>
      </w:r>
    </w:p>
    <w:p w14:paraId="1EEA2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数据分析是历史学习常用的重要方法。小华同学收集了一组第二次世界大战中中国抗战的数据。这些数据表明（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D85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25525"/>
            <wp:effectExtent l="0" t="0" r="0" b="317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25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13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全民族团结才能取得抗日战争的胜利</w:t>
      </w:r>
    </w:p>
    <w:p w14:paraId="22A64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中国人民的抗战得到了世界各国援助</w:t>
      </w:r>
    </w:p>
    <w:p w14:paraId="3E40B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中国抗战是近代以来抗击侵略的第一次完全胜利</w:t>
      </w:r>
    </w:p>
    <w:p w14:paraId="633F5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中国战场为世界反法西斯战争胜利作出重大贡献</w:t>
      </w:r>
    </w:p>
    <w:p w14:paraId="48A5E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月，中共十二届三中全会通过了《中共中央关于经济体制改革的决定》，随后城市经济体制改革全面展开。同年，我国进一步开放大连、秦皇岛、天津、广州等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个沿海城市。这说明（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42A6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特区的建立为改革提供了示范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改革开放呈现“点线面体”的格局</w:t>
      </w:r>
    </w:p>
    <w:p w14:paraId="206B43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对内改革和对外开放同步进行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社会主义市场经济体制在全国建立</w:t>
      </w:r>
    </w:p>
    <w:p w14:paraId="6F7C01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）班同学以“历史上水陆交通的发展”为主题，制作了相关知识图谱，请据此完成下面小题。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0"/>
        <w:gridCol w:w="5895"/>
      </w:tblGrid>
      <w:tr w14:paraId="77E1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280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项目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C59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发展演变</w:t>
            </w:r>
          </w:p>
        </w:tc>
      </w:tr>
      <w:tr w14:paraId="7EB4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0B41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路线范围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863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陆、海丝绸之路—→新航路开辟、三角贸易</w:t>
            </w:r>
          </w:p>
          <w:p w14:paraId="772B48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欧、亚、非三大洲—→欧、亚、非、美全球航路</w:t>
            </w:r>
          </w:p>
        </w:tc>
      </w:tr>
      <w:tr w14:paraId="70A6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A35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交通工具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1CB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动力:自然力→机械力</w:t>
            </w:r>
          </w:p>
          <w:p w14:paraId="1918C9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工具:骆驼、帆船→蒸汽轮船、火车</w:t>
            </w:r>
          </w:p>
        </w:tc>
      </w:tr>
      <w:tr w14:paraId="5113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6A5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重要人物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01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中国：张骞、郑和等</w:t>
            </w:r>
          </w:p>
          <w:p w14:paraId="221C7D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世界:哥伦布、麦哲伦等</w:t>
            </w:r>
          </w:p>
        </w:tc>
      </w:tr>
      <w:tr w14:paraId="1FEA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1A7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贸易往来</w:t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8F6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533775" cy="809625"/>
                  <wp:effectExtent l="0" t="0" r="9525" b="9525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F8711">
      <w:pPr>
        <w:spacing w:line="360" w:lineRule="auto"/>
        <w:jc w:val="left"/>
        <w:textAlignment w:val="center"/>
        <w:rPr>
          <w:color w:val="000000"/>
        </w:rPr>
      </w:pPr>
    </w:p>
    <w:p w14:paraId="267A1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上表中交通工具的动力由自然力向机械力转变，是由于（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C0E9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航海家对未知领域的探索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蒸汽机运用于交通领域</w:t>
      </w:r>
    </w:p>
    <w:p w14:paraId="155DDD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黑奴贸易不断扩大的需要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全球经济一体化的结果</w:t>
      </w:r>
    </w:p>
    <w:p w14:paraId="71679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综合上表中的信息，对历史上水陆交通发展带来的共同影响，表述正确的是（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4AAC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密切了各地经济文化联系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促进了人口向非洲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迁移</w:t>
      </w:r>
    </w:p>
    <w:p w14:paraId="5B04D1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实现了全球经济共同繁荣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造成了亚非拉国家的落后</w:t>
      </w:r>
    </w:p>
    <w:p w14:paraId="6FEA0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1918</w:t>
      </w:r>
      <w:r>
        <w:rPr>
          <w:rFonts w:ascii="宋体" w:hAnsi="宋体" w:eastAsia="宋体" w:cs="宋体"/>
          <w:color w:val="000000"/>
        </w:rPr>
        <w:t>年，李大钊接连发表《法俄革命之比较观》《庶民的胜利》《布尔什维主义的胜利》等文章，热烈欢呼“将来的环球，必是赤旗的世界”。这些文章写作的国际背景是（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84C06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第一国际的成立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《共产党宣言》的发表</w:t>
      </w:r>
    </w:p>
    <w:p w14:paraId="2D489B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巴黎公社的建立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俄国十月革命的胜利</w:t>
      </w:r>
    </w:p>
    <w:p w14:paraId="2CB34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小夏同学围绕“亚非拉民族解放运动”这一主题按阶段特征绘制了下面示意图，其中处应填写（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41D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16573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864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太平天国运动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印度非暴力不合作运动</w:t>
      </w:r>
    </w:p>
    <w:p w14:paraId="22F64C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纳米比亚独立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古巴走上社会主义道路</w:t>
      </w:r>
    </w:p>
    <w:p w14:paraId="76F3C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帕尔默在《现代世界史》中写到：“第二次世界大战的起因与</w:t>
      </w:r>
      <w:r>
        <w:rPr>
          <w:rFonts w:ascii="Times New Roman" w:hAnsi="Times New Roman" w:eastAsia="Times New Roman" w:cs="Times New Roman"/>
          <w:color w:val="000000"/>
        </w:rPr>
        <w:t>1919-1920</w:t>
      </w:r>
      <w:r>
        <w:rPr>
          <w:rFonts w:ascii="宋体" w:hAnsi="宋体" w:eastAsia="宋体" w:cs="宋体"/>
          <w:color w:val="000000"/>
        </w:rPr>
        <w:t>年之间签订的和平条约的失败相关。和平条约制造出的问题与解决的问题几乎一样多……埋下了会滋生罪恶的种子。”对作者这段话的理解正确的是（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EAA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凡尔赛体系埋下了第二次世界大战的祸根</w:t>
      </w:r>
    </w:p>
    <w:p w14:paraId="1FCF1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《凡尔赛条约》使日本走上了法西斯道路</w:t>
      </w:r>
    </w:p>
    <w:p w14:paraId="7F099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第二次世界大战是第一次世界大战的延续</w:t>
      </w:r>
    </w:p>
    <w:p w14:paraId="1B3E9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华盛顿体系没有从根本上解决各国间矛盾</w:t>
      </w:r>
    </w:p>
    <w:p w14:paraId="4196FCBA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88F14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道大题，其中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C92D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走近文物。传承文明。九年级（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）班同学开展项目化学习，请你参与完成。</w:t>
      </w:r>
    </w:p>
    <w:p w14:paraId="08B46B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【项目名称】博古鉴今·文物策展</w:t>
      </w:r>
    </w:p>
    <w:p w14:paraId="5F6A9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【项目目标】通过举办策展活动，走近历史文物，感受中华民族推陈出新的创造力和薪火相传的民族精神。</w:t>
      </w:r>
    </w:p>
    <w:p w14:paraId="60AFD8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【项目任务】</w:t>
      </w:r>
    </w:p>
    <w:p w14:paraId="67BEF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一组同学以“国宝物语·见证历史”为主题，整理了中国国家博物馆的部分文物信息，准备布展。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4"/>
        <w:gridCol w:w="3141"/>
        <w:gridCol w:w="1379"/>
        <w:gridCol w:w="3003"/>
        <w:gridCol w:w="1889"/>
      </w:tblGrid>
      <w:tr w14:paraId="20A3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2221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822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吉金铸史（西周）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EE46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以农为本（北朝）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925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金榜题名（金朝）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22B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护国利刃（明朝）</w:t>
            </w:r>
          </w:p>
        </w:tc>
      </w:tr>
      <w:tr w14:paraId="3A5D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903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历史文物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197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42950" cy="866775"/>
                  <wp:effectExtent l="0" t="0" r="0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4EE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①大盂鼎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F11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71500" cy="857250"/>
                  <wp:effectExtent l="0" t="0" r="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A398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②《齐民要术》明刊本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2591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904875"/>
                  <wp:effectExtent l="0" t="0" r="0" b="0"/>
                  <wp:docPr id="100033" name="图片 1000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0740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③《女真进士题名碑》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E963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76300" cy="733425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A2D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④“万历十年登州戚氏”军刀</w:t>
            </w:r>
          </w:p>
        </w:tc>
      </w:tr>
      <w:tr w14:paraId="0421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0277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国宝物语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721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入选理由：西周最大，最重青铜鼎，铭文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291</w:t>
            </w:r>
            <w:r>
              <w:rPr>
                <w:rFonts w:ascii="宋体" w:hAnsi="宋体" w:eastAsia="宋体" w:cs="宋体"/>
                <w:color w:val="000000"/>
              </w:rPr>
              <w:t>字，记载了周康王册命盂之事，是研究“分封”的重要物证。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5E1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入选理由：▲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DDB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入选理由：我国现存为数不多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00053" name="图片 1000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3" name="图片 10005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女真文字碑刻之一，是金朝推行科举制和女真文化与汉文化交融的见证。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F68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入选理由：▲</w:t>
            </w:r>
          </w:p>
        </w:tc>
      </w:tr>
      <w:tr w14:paraId="2D5B6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D241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文物信息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3955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青铜铸造</w:t>
            </w:r>
          </w:p>
          <w:p w14:paraId="5CFCF6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政治制度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EC3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农业技术</w:t>
            </w:r>
          </w:p>
          <w:p w14:paraId="79C9AD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文化传承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D6AB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制度文化</w:t>
            </w:r>
          </w:p>
          <w:p w14:paraId="50FA86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民族交融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6A0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中外交往</w:t>
            </w:r>
          </w:p>
          <w:p w14:paraId="1EA04F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抗击倭寇</w:t>
            </w:r>
          </w:p>
        </w:tc>
      </w:tr>
    </w:tbl>
    <w:p w14:paraId="41BA22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</w:t>
      </w:r>
      <w:r>
        <w:rPr>
          <w:rFonts w:ascii="Times New Roman" w:hAnsi="Times New Roman" w:eastAsia="Times New Roman" w:cs="Times New Roman"/>
          <w:color w:val="000000"/>
        </w:rPr>
        <w:t>1:</w:t>
      </w:r>
      <w:r>
        <w:rPr>
          <w:rFonts w:ascii="宋体" w:hAnsi="宋体" w:eastAsia="宋体" w:cs="宋体"/>
          <w:color w:val="000000"/>
        </w:rPr>
        <w:t>请你根据上表中的相关信息，分别为②、④文物写出入选理由。</w:t>
      </w:r>
    </w:p>
    <w:p w14:paraId="713AF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二组同学以“文物图片·时代印记”为主题，搜集了如下图片资料设计展览。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49E3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CAC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①长春一汽生产的第一辆解放牌汽车</w:t>
            </w:r>
            <w:r>
              <w:rPr>
                <w:color w:val="000000"/>
              </w:rPr>
              <w:t xml:space="preserve">            </w:t>
            </w:r>
            <w:r>
              <w:rPr>
                <w:rFonts w:ascii="宋体" w:hAnsi="宋体" w:eastAsia="宋体" w:cs="宋体"/>
                <w:color w:val="000000"/>
              </w:rPr>
              <w:t>②小岗村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户农民签订的包干到户生产契约书</w:t>
            </w:r>
          </w:p>
          <w:p w14:paraId="19FD77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③淮海战役支前农民使用的小推车</w:t>
            </w:r>
            <w:r>
              <w:rPr>
                <w:color w:val="000000"/>
              </w:rPr>
              <w:t xml:space="preserve">                </w:t>
            </w:r>
            <w:r>
              <w:rPr>
                <w:rFonts w:ascii="宋体" w:hAnsi="宋体" w:eastAsia="宋体" w:cs="宋体"/>
                <w:color w:val="000000"/>
              </w:rPr>
              <w:t>④聂耳谱写的《义勇军进行曲》手稿</w:t>
            </w:r>
          </w:p>
          <w:p w14:paraId="449532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⑤第一届全国人民代表大会代表证</w:t>
            </w:r>
            <w:r>
              <w:rPr>
                <w:color w:val="000000"/>
              </w:rPr>
              <w:t xml:space="preserve">                </w:t>
            </w:r>
            <w:r>
              <w:rPr>
                <w:rFonts w:ascii="宋体" w:hAnsi="宋体" w:eastAsia="宋体" w:cs="宋体"/>
                <w:color w:val="000000"/>
              </w:rPr>
              <w:t>⑥我国第一艘航空母舰“辽宁舰”交接入列照片</w:t>
            </w:r>
          </w:p>
          <w:p w14:paraId="7DD5D2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⑦“一带一路”纪念邮票</w:t>
            </w:r>
          </w:p>
        </w:tc>
      </w:tr>
    </w:tbl>
    <w:p w14:paraId="25FD4E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：请将上面备选资料的序号填入下面对应的展板中，并据此为这一板面写出结语。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81"/>
        <w:gridCol w:w="1689"/>
        <w:gridCol w:w="2219"/>
        <w:gridCol w:w="1897"/>
      </w:tblGrid>
      <w:tr w14:paraId="7C17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91B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前言</w:t>
            </w:r>
          </w:p>
          <w:p w14:paraId="49A5C64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为庆祝中华人民共和国成立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  <w:r>
              <w:rPr>
                <w:rFonts w:ascii="宋体" w:hAnsi="宋体" w:eastAsia="宋体" w:cs="宋体"/>
                <w:color w:val="000000"/>
              </w:rPr>
              <w:t>周年，再现党的光辉历程，举办本展览。展览共分三个板块。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03D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展板一</w:t>
            </w:r>
          </w:p>
          <w:p w14:paraId="435549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民族独立·求解放</w:t>
            </w:r>
          </w:p>
          <w:p w14:paraId="176F08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1921</w:t>
            </w:r>
            <w:r>
              <w:rPr>
                <w:rFonts w:ascii="宋体" w:hAnsi="宋体" w:eastAsia="宋体" w:cs="宋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1949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  <w:p w14:paraId="1473AE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2C7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展板二</w:t>
            </w:r>
          </w:p>
          <w:p w14:paraId="6DC58A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艰辛探索·展新颜（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1949-1976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  <w:p w14:paraId="2CB06E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05F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展板三</w:t>
            </w:r>
          </w:p>
          <w:p w14:paraId="511866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改革开放·谋复兴（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宋体" w:hAnsi="宋体" w:eastAsia="宋体" w:cs="宋体"/>
                <w:color w:val="000000"/>
              </w:rPr>
              <w:t>年至今）</w:t>
            </w:r>
          </w:p>
          <w:p w14:paraId="73776A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▲</w:t>
            </w:r>
          </w:p>
        </w:tc>
      </w:tr>
      <w:tr w14:paraId="637EA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1DDB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结语：▲</w:t>
            </w:r>
          </w:p>
        </w:tc>
      </w:tr>
    </w:tbl>
    <w:p w14:paraId="750B2FCB">
      <w:pPr>
        <w:spacing w:line="360" w:lineRule="auto"/>
        <w:jc w:val="left"/>
        <w:textAlignment w:val="center"/>
        <w:rPr>
          <w:color w:val="000000"/>
        </w:rPr>
      </w:pPr>
    </w:p>
    <w:p w14:paraId="16B4A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生态文明·绿色发展。阅读下列材料，结合所学知识回答问题。</w:t>
      </w:r>
    </w:p>
    <w:p w14:paraId="0F61D9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tbl>
      <w:tblPr>
        <w:tblStyle w:val="4"/>
        <w:tblW w:w="6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3"/>
        <w:gridCol w:w="5247"/>
      </w:tblGrid>
      <w:tr w14:paraId="52C2C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AB5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中华伦理</w:t>
            </w:r>
          </w:p>
        </w:tc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C54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生态主张</w:t>
            </w:r>
          </w:p>
        </w:tc>
      </w:tr>
      <w:tr w14:paraId="0F26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A32A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“仁”</w:t>
            </w:r>
          </w:p>
        </w:tc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C02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</w:t>
            </w:r>
            <w:r>
              <w:rPr>
                <w:rFonts w:ascii="楷体" w:hAnsi="楷体" w:eastAsia="楷体" w:cs="楷体"/>
                <w:color w:val="000000"/>
              </w:rPr>
              <w:t>质于爱民以下，至于鸟兽昆虫莫不爱，不爱，奚足以为人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</w:p>
          <w:p w14:paraId="26A7DAE4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——《春秋繁露》</w:t>
            </w:r>
          </w:p>
        </w:tc>
      </w:tr>
      <w:tr w14:paraId="313C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8F2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“义”</w:t>
            </w:r>
          </w:p>
        </w:tc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50F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</w:t>
            </w:r>
            <w:r>
              <w:rPr>
                <w:rFonts w:ascii="楷体" w:hAnsi="楷体" w:eastAsia="楷体" w:cs="楷体"/>
                <w:color w:val="000000"/>
              </w:rPr>
              <w:t>地力之生物有大数，人力之成物有大限。取之有度，用之有节，则常足；取之无度，用之不节，则常不足。</w:t>
            </w:r>
          </w:p>
          <w:p w14:paraId="54E988B3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——《资治通鉴》</w:t>
            </w:r>
          </w:p>
        </w:tc>
      </w:tr>
      <w:tr w14:paraId="73F1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E9A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“礼”</w:t>
            </w:r>
          </w:p>
        </w:tc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E3C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</w:t>
            </w:r>
            <w:r>
              <w:rPr>
                <w:rFonts w:ascii="楷体" w:hAnsi="楷体" w:eastAsia="楷体" w:cs="楷体"/>
                <w:color w:val="000000"/>
              </w:rPr>
              <w:t>春三月，山林不登斧斤（砍伐工具），以成草木之长；夏三月，川泽不入网</w:t>
            </w:r>
            <w:r>
              <w:rPr>
                <w:rFonts w:ascii="宋体" w:hAnsi="宋体" w:eastAsia="宋体" w:cs="宋体"/>
                <w:color w:val="000000"/>
              </w:rPr>
              <w:t>罢（gǔ，捕鱼的网），以咸鱼鳖之长。</w:t>
            </w:r>
          </w:p>
          <w:p w14:paraId="52C97D2C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——《逸周书》</w:t>
            </w:r>
          </w:p>
        </w:tc>
      </w:tr>
    </w:tbl>
    <w:p w14:paraId="168C9AF0">
      <w:pPr>
        <w:spacing w:line="360" w:lineRule="auto"/>
        <w:jc w:val="left"/>
        <w:textAlignment w:val="center"/>
        <w:rPr>
          <w:color w:val="000000"/>
        </w:rPr>
      </w:pPr>
    </w:p>
    <w:p w14:paraId="4EFC3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根据材料一，概括中华伦理所蕴含的生态价值观。</w:t>
      </w:r>
    </w:p>
    <w:p w14:paraId="67B6FA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4"/>
        <w:tblW w:w="6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5"/>
        <w:gridCol w:w="4195"/>
      </w:tblGrid>
      <w:tr w14:paraId="1AC8D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BEB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266825" cy="923925"/>
                  <wp:effectExtent l="0" t="0" r="0" b="0"/>
                  <wp:docPr id="1276468072" name="图片 1276468072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6468072" name="图片 127646807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1448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机器时代的“享受”</w:t>
            </w:r>
          </w:p>
        </w:tc>
        <w:tc>
          <w:tcPr>
            <w:tcW w:w="4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746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世纪中后期英国议会颁布的法律法规（部分）</w:t>
            </w:r>
          </w:p>
          <w:p w14:paraId="4D7508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1847</w:t>
            </w:r>
            <w:r>
              <w:rPr>
                <w:rFonts w:ascii="楷体" w:hAnsi="楷体" w:eastAsia="楷体" w:cs="楷体"/>
                <w:color w:val="000000"/>
              </w:rPr>
              <w:t>年《河道法令》，禁止污染任何作为公共供水的水源</w:t>
            </w:r>
          </w:p>
          <w:p w14:paraId="573B60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1848</w:t>
            </w:r>
            <w:r>
              <w:rPr>
                <w:rFonts w:ascii="楷体" w:hAnsi="楷体" w:eastAsia="楷体" w:cs="楷体"/>
                <w:color w:val="000000"/>
              </w:rPr>
              <w:t>年《公共卫生法》，要求把污水和废弃物集中处理</w:t>
            </w:r>
          </w:p>
          <w:p w14:paraId="7E851F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1855</w:t>
            </w:r>
            <w:r>
              <w:rPr>
                <w:rFonts w:ascii="楷体" w:hAnsi="楷体" w:eastAsia="楷体" w:cs="楷体"/>
                <w:color w:val="000000"/>
              </w:rPr>
              <w:t>年《首都管理法案》《消除污害法案》，规定成立首都工务委员会，负责房屋、供水、排水系统建设与管理</w:t>
            </w:r>
          </w:p>
          <w:p w14:paraId="1226F6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1875</w:t>
            </w:r>
            <w:r>
              <w:rPr>
                <w:rFonts w:ascii="楷体" w:hAnsi="楷体" w:eastAsia="楷体" w:cs="楷体"/>
                <w:color w:val="000000"/>
              </w:rPr>
              <w:t>年《公共卫生法》，汇集了以前同类法规，覆盖面广、内容完善，世界上第一个公共卫生系统建立</w:t>
            </w:r>
          </w:p>
        </w:tc>
      </w:tr>
    </w:tbl>
    <w:p w14:paraId="36EB933F">
      <w:pPr>
        <w:spacing w:line="360" w:lineRule="auto"/>
        <w:jc w:val="left"/>
        <w:textAlignment w:val="center"/>
        <w:rPr>
          <w:color w:val="000000"/>
        </w:rPr>
      </w:pPr>
    </w:p>
    <w:p w14:paraId="01758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根据材料二，概括英国环境治理的特点，并分析英国制定此类法律法规的原因。</w:t>
      </w:r>
    </w:p>
    <w:p w14:paraId="0ADCD2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大平原地处美国中西部，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世纪中叶之前，被标示为“美洲大荒漠”。从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中期以来，美国政府通过实施《宅地法》、向铁路公司授地等政策措施吸引移民前来定居。这里被宣传为“西部花园”、“农业天堂”，也得益于那一时期铁路的贯通、旱作农业技术的进步和农业机械的应用。</w:t>
      </w:r>
    </w:p>
    <w:p w14:paraId="06B839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近一个多世纪以来，该农业地区灾难屡见不鲜，最严重的发生在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楷体" w:hAnsi="楷体" w:eastAsia="楷体" w:cs="楷体"/>
          <w:color w:val="000000"/>
        </w:rPr>
        <w:t>年代。经济凋敝、社会动荡，农场大量破产，数十万人流离失所。严重的生态灾难和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楷体" w:hAnsi="楷体" w:eastAsia="楷体" w:cs="楷体"/>
          <w:color w:val="000000"/>
        </w:rPr>
        <w:t>年代大萧条同时出现，实际上表明自由放任的资本主义体系已经深陷困境。</w:t>
      </w:r>
    </w:p>
    <w:p w14:paraId="7168DBA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——摘编自高国荣《环境史视野下的灾害史研究：以美国大平原农业开发为例》</w:t>
      </w:r>
    </w:p>
    <w:p w14:paraId="1C2EC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材料三中，美国中西部由“荒漠”变“天堂”的原因有哪些？并简述美国政府是如何应对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宋体" w:hAnsi="宋体" w:eastAsia="宋体" w:cs="宋体"/>
          <w:color w:val="000000"/>
        </w:rPr>
        <w:t>年代的困境的。</w:t>
      </w:r>
    </w:p>
    <w:p w14:paraId="5A90B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历史人物·时代潮流。阅读下列材料，结合所学知识回答问题。</w:t>
      </w:r>
    </w:p>
    <w:p w14:paraId="2D389C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中国近代历史人物张謇和孙中山大事记（部分）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  <w:gridCol w:w="3540"/>
      </w:tblGrid>
      <w:tr w14:paraId="12D8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F91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1895</w:t>
            </w:r>
            <w:r>
              <w:rPr>
                <w:rFonts w:ascii="楷体" w:hAnsi="楷体" w:eastAsia="楷体" w:cs="楷体"/>
                <w:color w:val="000000"/>
              </w:rPr>
              <w:t>年甲午战败后张謇抱着“实业救国”思想，回乡创办大生纱厂</w:t>
            </w:r>
          </w:p>
          <w:p w14:paraId="22A905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1899</w:t>
            </w:r>
            <w:r>
              <w:rPr>
                <w:rFonts w:ascii="楷体" w:hAnsi="楷体" w:eastAsia="楷体" w:cs="楷体"/>
                <w:color w:val="000000"/>
              </w:rPr>
              <w:t>年大生纱厂正式开始生产棉纱</w:t>
            </w:r>
          </w:p>
          <w:p w14:paraId="42A620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1903</w:t>
            </w:r>
            <w:r>
              <w:rPr>
                <w:rFonts w:ascii="楷体" w:hAnsi="楷体" w:eastAsia="楷体" w:cs="楷体"/>
                <w:color w:val="000000"/>
              </w:rPr>
              <w:t>年开始筹建分厂，一战期间发展迅速，获利丰厚，并投资公益事业</w:t>
            </w:r>
          </w:p>
          <w:p w14:paraId="0231E3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1905</w:t>
            </w:r>
            <w:r>
              <w:rPr>
                <w:rFonts w:ascii="楷体" w:hAnsi="楷体" w:eastAsia="楷体" w:cs="楷体"/>
                <w:color w:val="000000"/>
              </w:rPr>
              <w:t>年创办国内第一家自建公共博物馆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28A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1894</w:t>
            </w:r>
            <w:r>
              <w:rPr>
                <w:rFonts w:ascii="楷体" w:hAnsi="楷体" w:eastAsia="楷体" w:cs="楷体"/>
                <w:color w:val="000000"/>
              </w:rPr>
              <w:t>年孙中山成立兴中会</w:t>
            </w:r>
          </w:p>
          <w:p w14:paraId="1F990E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1895</w:t>
            </w:r>
            <w:r>
              <w:rPr>
                <w:rFonts w:ascii="楷体" w:hAnsi="楷体" w:eastAsia="楷体" w:cs="楷体"/>
                <w:color w:val="000000"/>
              </w:rPr>
              <w:t>年领导广州起义</w:t>
            </w:r>
          </w:p>
          <w:p w14:paraId="5980C4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1905</w:t>
            </w:r>
            <w:r>
              <w:rPr>
                <w:rFonts w:ascii="楷体" w:hAnsi="楷体" w:eastAsia="楷体" w:cs="楷体"/>
                <w:color w:val="000000"/>
              </w:rPr>
              <w:t>年成立同盟会，提出民族、民权、民生三大主义</w:t>
            </w:r>
          </w:p>
          <w:p w14:paraId="252C4D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1912</w:t>
            </w:r>
            <w:r>
              <w:rPr>
                <w:rFonts w:ascii="楷体" w:hAnsi="楷体" w:eastAsia="楷体" w:cs="楷体"/>
                <w:color w:val="000000"/>
              </w:rPr>
              <w:t>年就任中华民国临时大总统，颁布《中华民国临时约法》</w:t>
            </w:r>
          </w:p>
        </w:tc>
      </w:tr>
    </w:tbl>
    <w:p w14:paraId="45722E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“毛主席一生中大部分时间是做了非常好的事情的，他多次从危机中把党和国家挽救过来。没有毛主席，至少我们中国人还要在黑暗中摸索更长的时间。</w:t>
      </w:r>
    </w:p>
    <w:p w14:paraId="4AC59E4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——邓小平</w:t>
      </w:r>
    </w:p>
    <w:p w14:paraId="2C4689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35"/>
        <w:gridCol w:w="5010"/>
      </w:tblGrid>
      <w:tr w14:paraId="6797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64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时代</w:t>
            </w:r>
          </w:p>
        </w:tc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D75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偶像</w:t>
            </w:r>
          </w:p>
        </w:tc>
      </w:tr>
      <w:tr w14:paraId="42AB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92C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世纪五六十年代</w:t>
            </w:r>
          </w:p>
        </w:tc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86D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</w:t>
            </w:r>
            <w:r>
              <w:rPr>
                <w:rFonts w:ascii="楷体" w:hAnsi="楷体" w:eastAsia="楷体" w:cs="楷体"/>
                <w:color w:val="000000"/>
              </w:rPr>
              <w:t>领袖人物毛泽东、周恩来；英雄人物雷锋、王进喜、焦裕禄；革命英雄江竹筠（江姐）、邱少云、保尔·柯察金等。</w:t>
            </w:r>
          </w:p>
        </w:tc>
      </w:tr>
      <w:tr w14:paraId="076DF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0D43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世纪七八十年代</w:t>
            </w:r>
          </w:p>
        </w:tc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00D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1978</w:t>
            </w:r>
            <w:r>
              <w:rPr>
                <w:rFonts w:ascii="楷体" w:hAnsi="楷体" w:eastAsia="楷体" w:cs="楷体"/>
                <w:color w:val="000000"/>
              </w:rPr>
              <w:t>年报告文学《哥德巴赫猜想》的发表，使数学家陈景润成为全国人民崇敬的对象，并引导年轻人对科学产生极大的热爱八十年代，在世界大赛上创下“五连冠”的中国女排成为偶像。</w:t>
            </w:r>
          </w:p>
        </w:tc>
      </w:tr>
    </w:tbl>
    <w:p w14:paraId="56CD7DC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——摘编自刘钰雯《偶像时代变迁及现实思考》</w:t>
      </w:r>
    </w:p>
    <w:p w14:paraId="52E10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根据材料一，对比张謇和孙中山在时代大潮中的救国实践有何异同之处。</w:t>
      </w:r>
    </w:p>
    <w:p w14:paraId="48A95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根据材料二，结合新民主主义革命时期的具体事例，说明毛主席“多次从危机中把党和国家挽救过来”。</w:t>
      </w:r>
    </w:p>
    <w:p w14:paraId="5E4CD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根据材料三，概括新中国成立以来不同时代偶像崇拜的特点。</w:t>
      </w:r>
    </w:p>
    <w:p w14:paraId="49E47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综上所述，作为新时代的中学生，应如何正确看待个人理想与时代发展的关系。</w:t>
      </w:r>
    </w:p>
    <w:p w14:paraId="20C28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大国之道·顺势而为。时势是一个时代的潮流和趋向。在历史发展的大转折时期，新旧潮流往往交织并存，共同影响着历史的发展进程。</w:t>
      </w:r>
    </w:p>
    <w:p w14:paraId="28F599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【时代·见证社会变革】</w:t>
      </w:r>
    </w:p>
    <w:p w14:paraId="5392E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根据春秋战国时期单元知识结构示意图，以秦国为例，简述图中①②③处史事之间的内在联系，并归纳这一时期历史发展的趋势。</w:t>
      </w:r>
    </w:p>
    <w:p w14:paraId="26CEE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7621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40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【时风。折射国家发展】</w:t>
      </w:r>
    </w:p>
    <w:p w14:paraId="4E717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从下面两组图片中任选一组，简述改革是如何改变时代风貌并推动国家发展的。</w:t>
      </w:r>
    </w:p>
    <w:p w14:paraId="3D9B3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8470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8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912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【时势·重构国际秩序】</w:t>
      </w:r>
    </w:p>
    <w:p w14:paraId="126F4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请从下面时间轴上选择三例相互关联的事件，结合所学自定一个你想论述的观点，加以阐述或说明。（要求：观点正确，史论结合，条理清楚）</w:t>
      </w:r>
    </w:p>
    <w:p w14:paraId="5904C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0431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592F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8455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E3B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7CE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BFFD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FC58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5619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16139B"/>
    <w:rsid w:val="071F720A"/>
    <w:rsid w:val="15B7061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2957</Words>
  <Characters>3101</Characters>
  <Lines>0</Lines>
  <Paragraphs>0</Paragraphs>
  <TotalTime>5</TotalTime>
  <ScaleCrop>false</ScaleCrop>
  <LinksUpToDate>false</LinksUpToDate>
  <CharactersWithSpaces>3358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2024-06-25T12:31:00Z</dcterms:created>
  <dc:creator>学科网试题生产平台</dc:creator>
  <dc:description>3525445433286656</dc:description>
  <cp:lastModifiedBy>上帝掷骰子吗</cp:lastModifiedBy>
  <dcterms:modified xsi:type="dcterms:W3CDTF">2026-02-09T06:12:28Z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A9CDD2880CDA4F77B91EF5485E2F8D04_12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