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4F483AF">
      <w:pPr>
        <w:spacing w:line="285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12319000</wp:posOffset>
            </wp:positionH>
            <wp:positionV relativeFrom="topMargin">
              <wp:posOffset>11938000</wp:posOffset>
            </wp:positionV>
            <wp:extent cx="431800" cy="279400"/>
            <wp:effectExtent l="0" t="0" r="6350" b="6350"/>
            <wp:wrapNone/>
            <wp:docPr id="100028" name="图片 1000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8" name="图片 10002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31800" cy="279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宜宾市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2024</w:t>
      </w:r>
      <w:r>
        <w:rPr>
          <w:rFonts w:ascii="宋体" w:hAnsi="宋体" w:eastAsia="宋体" w:cs="宋体"/>
          <w:b/>
          <w:color w:val="auto"/>
          <w:sz w:val="32"/>
        </w:rPr>
        <w:t>年初中学业水平考试暨高中阶段学校招生考试</w:t>
      </w:r>
    </w:p>
    <w:p w14:paraId="12AF238C">
      <w:pPr>
        <w:spacing w:line="285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历史</w:t>
      </w:r>
    </w:p>
    <w:p w14:paraId="46725666">
      <w:pPr>
        <w:spacing w:line="285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（考试时间：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60</w:t>
      </w:r>
      <w:r>
        <w:rPr>
          <w:rFonts w:ascii="宋体" w:hAnsi="宋体" w:eastAsia="宋体" w:cs="宋体"/>
          <w:b/>
          <w:color w:val="auto"/>
          <w:sz w:val="24"/>
        </w:rPr>
        <w:t>分钟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 xml:space="preserve">  </w:t>
      </w:r>
      <w:r>
        <w:rPr>
          <w:rFonts w:ascii="宋体" w:hAnsi="宋体" w:eastAsia="宋体" w:cs="宋体"/>
          <w:b/>
          <w:color w:val="auto"/>
          <w:sz w:val="24"/>
        </w:rPr>
        <w:t>全卷满分：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100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2AEBA133">
      <w:pPr>
        <w:spacing w:line="285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53933936">
      <w:pPr>
        <w:spacing w:line="285" w:lineRule="auto"/>
        <w:jc w:val="both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color w:val="auto"/>
          <w:sz w:val="21"/>
        </w:rPr>
        <w:t>．</w:t>
      </w:r>
      <w:r>
        <w:rPr>
          <w:rFonts w:ascii="宋体" w:hAnsi="宋体" w:eastAsia="宋体" w:cs="宋体"/>
          <w:b/>
          <w:color w:val="auto"/>
          <w:sz w:val="24"/>
        </w:rPr>
        <w:t>答题前，务必将自己的姓名，座位号、准考证号填写在答题卡指定的位置并将答题卡座位号对应标号涂黑。</w:t>
      </w:r>
    </w:p>
    <w:p w14:paraId="3496FEC7">
      <w:pPr>
        <w:spacing w:line="285" w:lineRule="auto"/>
        <w:jc w:val="both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color w:val="auto"/>
          <w:sz w:val="21"/>
        </w:rPr>
        <w:t>．</w:t>
      </w:r>
      <w:r>
        <w:rPr>
          <w:rFonts w:ascii="宋体" w:hAnsi="宋体" w:eastAsia="宋体" w:cs="宋体"/>
          <w:b/>
          <w:color w:val="auto"/>
          <w:sz w:val="24"/>
        </w:rPr>
        <w:t>答选择题时，务必使用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2B</w:t>
      </w:r>
      <w:r>
        <w:rPr>
          <w:rFonts w:ascii="宋体" w:hAnsi="宋体" w:eastAsia="宋体" w:cs="宋体"/>
          <w:b/>
          <w:color w:val="auto"/>
          <w:sz w:val="24"/>
        </w:rPr>
        <w:t>铅笔将答题卡上对应题目的答案标号涂黑，如需改动，用橡皮擦擦干净后，再选涂其他答案标号。</w:t>
      </w:r>
    </w:p>
    <w:p w14:paraId="2E1F01F5">
      <w:pPr>
        <w:spacing w:line="285" w:lineRule="auto"/>
        <w:jc w:val="both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color w:val="auto"/>
          <w:sz w:val="21"/>
        </w:rPr>
        <w:t>．</w:t>
      </w:r>
      <w:r>
        <w:rPr>
          <w:rFonts w:ascii="宋体" w:hAnsi="宋体" w:eastAsia="宋体" w:cs="宋体"/>
          <w:b/>
          <w:color w:val="auto"/>
          <w:sz w:val="24"/>
        </w:rPr>
        <w:t>答非选择题时，务必使用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0.5</w:t>
      </w:r>
      <w:r>
        <w:rPr>
          <w:rFonts w:ascii="宋体" w:hAnsi="宋体" w:eastAsia="宋体" w:cs="宋体"/>
          <w:b/>
          <w:color w:val="auto"/>
          <w:sz w:val="24"/>
        </w:rPr>
        <w:t>毫米黑色签字笔，将答案书写在答题卡规定的位置上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.</w:t>
      </w:r>
    </w:p>
    <w:p w14:paraId="58E3D8B3">
      <w:pPr>
        <w:spacing w:line="285" w:lineRule="auto"/>
        <w:jc w:val="both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4</w:t>
      </w:r>
      <w:r>
        <w:rPr>
          <w:rFonts w:ascii="宋体" w:hAnsi="宋体" w:eastAsia="宋体" w:cs="宋体"/>
          <w:color w:val="auto"/>
          <w:sz w:val="21"/>
        </w:rPr>
        <w:t>．</w:t>
      </w:r>
      <w:r>
        <w:rPr>
          <w:rFonts w:ascii="宋体" w:hAnsi="宋体" w:eastAsia="宋体" w:cs="宋体"/>
          <w:b/>
          <w:color w:val="auto"/>
          <w:sz w:val="24"/>
        </w:rPr>
        <w:t>所有题目必须在答题卡规定的位置上作答，在试卷上答题无效。</w:t>
      </w:r>
    </w:p>
    <w:p w14:paraId="19A312C9">
      <w:pPr>
        <w:spacing w:line="285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一、选择题：包括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16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分、共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48</w:t>
      </w:r>
      <w:r>
        <w:rPr>
          <w:rFonts w:ascii="宋体" w:hAnsi="宋体" w:eastAsia="宋体" w:cs="宋体"/>
          <w:b/>
          <w:color w:val="auto"/>
          <w:sz w:val="24"/>
        </w:rPr>
        <w:t>分。在每小题给出的四个选项中，只有一项是符合题目要求的</w:t>
      </w:r>
    </w:p>
    <w:p w14:paraId="45110D24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有学者认为“自周之襄、文王、周公势力之瓦解也，国民之智力成熟于内，政治之纷乱乘之于外……于是诸子九流各创其学说。”该学者意在说明（</w:t>
      </w:r>
      <w:r>
        <w:rPr>
          <w:rFonts w:ascii="Times New Roman" w:hAnsi="Times New Roman" w:eastAsia="Times New Roman" w:cs="Times New Roman"/>
          <w:color w:val="auto"/>
        </w:rPr>
        <w:t xml:space="preserve">    </w:t>
      </w:r>
      <w:r>
        <w:rPr>
          <w:rFonts w:ascii="宋体" w:hAnsi="宋体" w:eastAsia="宋体" w:cs="宋体"/>
          <w:color w:val="auto"/>
        </w:rPr>
        <w:t>）</w:t>
      </w:r>
    </w:p>
    <w:p w14:paraId="68278E45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中央集权制度建立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学术思想蓬勃兴起</w:t>
      </w:r>
    </w:p>
    <w:p w14:paraId="4BCEB60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奖励军功普遍实施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官学兴起开启民智</w:t>
      </w:r>
    </w:p>
    <w:p w14:paraId="584DD91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据图可知，中国古代（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tbl>
      <w:tblPr>
        <w:tblStyle w:val="4"/>
        <w:tblW w:w="83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310"/>
        <w:gridCol w:w="2310"/>
        <w:gridCol w:w="2370"/>
        <w:gridCol w:w="2640"/>
      </w:tblGrid>
      <w:tr w14:paraId="6DF0CCF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7DB525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304925" cy="1047750"/>
                  <wp:effectExtent l="0" t="0" r="9525" b="0"/>
                  <wp:docPr id="100003" name="图片 100003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3" name="图片 100003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4925" cy="1047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940778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304925" cy="1257300"/>
                  <wp:effectExtent l="0" t="0" r="9525" b="0"/>
                  <wp:docPr id="100005" name="图片 100005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5" name="图片 100005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4925" cy="1257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89752E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352550" cy="1866900"/>
                  <wp:effectExtent l="0" t="0" r="0" b="0"/>
                  <wp:docPr id="100007" name="图片 100007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7" name="图片 100007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2550" cy="1866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C32FE8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524000" cy="1266825"/>
                  <wp:effectExtent l="0" t="0" r="0" b="9525"/>
                  <wp:docPr id="100009" name="图片 100009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9" name="图片 100009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4000" cy="1266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055AA3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1E6F63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春秋战国时期的铁臿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AAD5EF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汉代播种工具耧车</w:t>
            </w:r>
          </w:p>
        </w:tc>
        <w:tc>
          <w:tcPr>
            <w:tcW w:w="23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211E46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三国时期灌溉工具翻车</w:t>
            </w:r>
          </w:p>
        </w:tc>
        <w:tc>
          <w:tcPr>
            <w:tcW w:w="25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AF8AFA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唐代灌溉工具筒车</w:t>
            </w:r>
          </w:p>
        </w:tc>
      </w:tr>
    </w:tbl>
    <w:p w14:paraId="25C13E7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人地矛盾彻底解决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农业工具不断创新</w:t>
      </w:r>
    </w:p>
    <w:p w14:paraId="7193E1E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休养生息政策施行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手工业技术的改进</w:t>
      </w:r>
    </w:p>
    <w:p w14:paraId="583131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下图是唐代画家阎立本描绘唐太宗接见松赞干布使者的场景。该图可用于研究（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28BED66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667125" cy="1933575"/>
            <wp:effectExtent l="0" t="0" r="9525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667125" cy="1933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4E57C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         《步辇图》（摹本）</w:t>
      </w:r>
    </w:p>
    <w:p w14:paraId="5F6C5A9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宗教绘画的风格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唐与突厥的友好关系</w:t>
      </w:r>
    </w:p>
    <w:p w14:paraId="214FD68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民族政策的践行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贞观时期的中外交往</w:t>
      </w:r>
    </w:p>
    <w:p w14:paraId="6BB9F53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从历史地图中获取信息是我们学习历史的重要方法。下图所示现象推动了（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0F66E0E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019425" cy="3800475"/>
            <wp:effectExtent l="0" t="0" r="9525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019425" cy="3800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E01A2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民族政权并立局面出现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第一次大规模人口迁徙</w:t>
      </w:r>
    </w:p>
    <w:p w14:paraId="2967898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全国性商业网络的形成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古代中国经济重心南移</w:t>
      </w:r>
    </w:p>
    <w:p w14:paraId="698D23F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下表是某历史学习小组开展的一系列研学活动。该活动的主题是（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290"/>
        <w:gridCol w:w="3705"/>
      </w:tblGrid>
      <w:tr w14:paraId="1586595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EC12C5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查阅文献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7A4064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《钦定藏内善后章程》《尼布楚条约》</w:t>
            </w:r>
          </w:p>
        </w:tc>
      </w:tr>
      <w:tr w14:paraId="117209D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87E4C4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实地考查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23B154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承德避暑山庄、伊犁将军府</w:t>
            </w:r>
          </w:p>
        </w:tc>
      </w:tr>
      <w:tr w14:paraId="7DDDA2B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AA7FE4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参观博物馆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E964FD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金奔巴瓶、《平定准噶尔图卷》</w:t>
            </w:r>
          </w:p>
        </w:tc>
      </w:tr>
    </w:tbl>
    <w:p w14:paraId="762AACA5">
      <w:pPr>
        <w:spacing w:line="360" w:lineRule="auto"/>
        <w:jc w:val="left"/>
        <w:textAlignment w:val="center"/>
        <w:rPr>
          <w:color w:val="000000"/>
        </w:rPr>
      </w:pPr>
    </w:p>
    <w:p w14:paraId="32BCC86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君主专制的进一步强化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统一多民族国家的巩固</w:t>
      </w:r>
    </w:p>
    <w:p w14:paraId="6E48109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文学和艺术的高度繁荣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边疆内地管理方式一致</w:t>
      </w:r>
    </w:p>
    <w:p w14:paraId="39F7233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Times New Roman" w:hAnsi="Times New Roman" w:eastAsia="Times New Roman" w:cs="Times New Roman"/>
          <w:color w:val="000000"/>
        </w:rPr>
        <w:t>1879</w:t>
      </w:r>
      <w:r>
        <w:rPr>
          <w:rFonts w:ascii="宋体" w:hAnsi="宋体" w:eastAsia="宋体" w:cs="宋体"/>
          <w:color w:val="000000"/>
        </w:rPr>
        <w:t>年，《纽约时报》报道称，洋务派“已经获得皇帝陛下的许可，在上海办中国第一家机器纺织厂——上海织布局”。该报道说明，洋务运动（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761C3D9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实现了富国强兵的目的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掀起了实业救国的浪潮</w:t>
      </w:r>
    </w:p>
    <w:p w14:paraId="27FF65C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引起了西方社会的关注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提高了中国的国际地位</w:t>
      </w:r>
    </w:p>
    <w:p w14:paraId="1C54DEC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某同学在制作关于中国近代历史进程的资料卡片时，列出了图中的四位历史人物。他们共同体现了（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5649662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434465"/>
            <wp:effectExtent l="0" t="0" r="0" b="1333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435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1C695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近代工业的创办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民主政权的建设</w:t>
      </w:r>
    </w:p>
    <w:p w14:paraId="5294CEC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爱国救亡的探索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新式教育的推广</w:t>
      </w:r>
    </w:p>
    <w:p w14:paraId="02C53E6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历史纪录片承担着探究历史，传承文化，弘扬民族精神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35" name="图片 1000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作用。如果要拍摄与中国近代社会相关的纪录片，下面素材可用于拍摄（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tbl>
      <w:tblPr>
        <w:tblStyle w:val="4"/>
        <w:tblW w:w="481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4815"/>
      </w:tblGrid>
      <w:tr w14:paraId="07F6233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48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5086B7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革除“大人”“老爷”等称呼；剪除男子发辫；</w:t>
            </w:r>
          </w:p>
          <w:p w14:paraId="6AB7D54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劝禁女子缠足；废止跪拜；严禁鸦片、禁止赌博</w:t>
            </w:r>
          </w:p>
        </w:tc>
      </w:tr>
    </w:tbl>
    <w:p w14:paraId="548D75CE">
      <w:pPr>
        <w:spacing w:line="360" w:lineRule="auto"/>
        <w:jc w:val="left"/>
        <w:textAlignment w:val="center"/>
        <w:rPr>
          <w:color w:val="000000"/>
        </w:rPr>
      </w:pPr>
    </w:p>
    <w:p w14:paraId="324DC67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群众性反帝爱国运动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推翻清王朝的斗争</w:t>
      </w:r>
    </w:p>
    <w:p w14:paraId="61D349D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民族工业短暂的春天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社会生活习俗变迁</w:t>
      </w:r>
    </w:p>
    <w:p w14:paraId="1F2FD8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五四运动使“中国人民和中华民族从斗争实践中懂得了中国社会的发展，中华民族的振兴，中国人民的幸福，必须依靠自己的英勇奋斗来实现，没有人会恩赐给我们一个光明的中国。”这说明五四运动（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627ECE2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形成反侵略的统一战线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成为了民主革命的开端</w:t>
      </w:r>
    </w:p>
    <w:p w14:paraId="1C85A95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促使党的工作重心转移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启迪了民众的思想觉悟</w:t>
      </w:r>
    </w:p>
    <w:p w14:paraId="28E7460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图是四川某抗战博物馆收藏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31" name="图片 100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两份珍贵文物。这两份文物可用于说明（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0EEF0E8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3370580"/>
            <wp:effectExtent l="0" t="0" r="0" b="127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3370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6BB23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民众的动员有利于抗战胜利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宜宾成为抗战的主要兵源地</w:t>
      </w:r>
    </w:p>
    <w:p w14:paraId="1B5E7C3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报刊的宣传是胜利的关键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日本政府正式签署投降书</w:t>
      </w:r>
    </w:p>
    <w:p w14:paraId="3328568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中国共产党自成立以来，采取了“打土豪，分田地”“地主减租减息、农民交租交息”“耕者有其田”“家庭联产承包责任制”等举措。这凸显了中国共产党坚持（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719F93E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以经济建设为中心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解放农村生产力</w:t>
      </w:r>
    </w:p>
    <w:p w14:paraId="07E0326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完善社会主义制度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以公有制为主体</w:t>
      </w:r>
    </w:p>
    <w:p w14:paraId="1ED5035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毛泽东说“我们不出兵让敌人压至鸭绿江边，国内国际反动气焰增高，则对各方都不利……总之，我们认为应当参战，必须参战。”这场“必须”参与的战争是（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728F113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国民革命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抗日战争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解放战争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抗美援朝</w:t>
      </w:r>
    </w:p>
    <w:p w14:paraId="52DA075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西欧中世纪的庄园有住房、作坊、耕地、草地……以农业为主，食物均可自给，鞋帽衣服也可自给，很多庄园还有铁匠、金银匠等。这反映了西欧中世纪庄园（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6B0C745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是自给自足的经济单位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随意增加佃户劳役</w:t>
      </w:r>
    </w:p>
    <w:p w14:paraId="0335EC5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是独立自主的政治单位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领主直接经营份地</w:t>
      </w:r>
    </w:p>
    <w:p w14:paraId="485E9F3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Times New Roman" w:hAnsi="Times New Roman" w:eastAsia="Times New Roman" w:cs="Times New Roman"/>
          <w:color w:val="000000"/>
        </w:rPr>
        <w:t>1889</w:t>
      </w:r>
      <w:r>
        <w:rPr>
          <w:rFonts w:ascii="宋体" w:hAnsi="宋体" w:eastAsia="宋体" w:cs="宋体"/>
          <w:color w:val="000000"/>
        </w:rPr>
        <w:t>年，明治政府颁布《大日本帝国宪法》，规定不得随意逮捕公民，财产权受到保护，但政府只要愿意便有权制止这些权利。同时规定“天皇神圣不可侵犯……总揽一切大权”。这说明明治维新（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5C89932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推动了倒幕运动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保留大量封建残余</w:t>
      </w:r>
    </w:p>
    <w:p w14:paraId="1245B39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加剧了民族危机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确立民主共和政体</w:t>
      </w:r>
    </w:p>
    <w:p w14:paraId="330DB5A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列宁曾评价一部著作是完整地系统地，至今仍然是关于阶级斗争最好的阐述，是“每个觉悟工人必读的书籍”。这本著作是（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34C2C36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《独立宣言》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《共产党宣言》</w:t>
      </w:r>
    </w:p>
    <w:p w14:paraId="2DE1EC4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《开罗宣言》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《人权宣言》</w:t>
      </w:r>
    </w:p>
    <w:p w14:paraId="39BC329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四个学习小组打算分别写一份关于两次世界大战后，世界政治、经济大事的报告。其中论证合理的是（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tbl>
      <w:tblPr>
        <w:tblStyle w:val="4"/>
        <w:tblW w:w="637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3120"/>
        <w:gridCol w:w="3255"/>
      </w:tblGrid>
      <w:tr w14:paraId="6178524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31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17A41C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I</w:t>
            </w:r>
            <w:r>
              <w:rPr>
                <w:rFonts w:ascii="宋体" w:hAnsi="宋体" w:eastAsia="宋体" w:cs="宋体"/>
                <w:color w:val="000000"/>
              </w:rPr>
              <w:t>．查阅到《九国公约》中宣称尊重中国主权、独立和领土完整内容的一手史料</w:t>
            </w:r>
          </w:p>
        </w:tc>
        <w:tc>
          <w:tcPr>
            <w:tcW w:w="32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1A0ABD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①得出德国分裂是冷战产物</w:t>
            </w:r>
            <w:r>
              <w:rPr>
                <w:rFonts w:ascii="宋体" w:hAnsi="宋体" w:eastAsia="宋体" w:cs="宋体"/>
                <w:color w:val="000000"/>
                <w:position w:val="0"/>
              </w:rPr>
              <w:drawing>
                <wp:inline distT="0" distB="0" distL="114300" distR="114300">
                  <wp:extent cx="133350" cy="177800"/>
                  <wp:effectExtent l="0" t="0" r="0" b="13335"/>
                  <wp:docPr id="100029" name="图片 1000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29" name="图片 100029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350" cy="177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宋体" w:hAnsi="宋体" w:eastAsia="宋体" w:cs="宋体"/>
                <w:color w:val="000000"/>
              </w:rPr>
              <w:t>推论</w:t>
            </w:r>
          </w:p>
        </w:tc>
      </w:tr>
      <w:tr w14:paraId="542F498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31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E115E9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II</w:t>
            </w:r>
            <w:r>
              <w:rPr>
                <w:rFonts w:ascii="宋体" w:hAnsi="宋体" w:eastAsia="宋体" w:cs="宋体"/>
                <w:color w:val="000000"/>
              </w:rPr>
              <w:t>．提出美国攫取了一战后世界领导权的观点</w:t>
            </w:r>
          </w:p>
        </w:tc>
        <w:tc>
          <w:tcPr>
            <w:tcW w:w="32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012E5A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②寻找美国实施马歇尔计划相关史实作为依据</w:t>
            </w:r>
          </w:p>
        </w:tc>
      </w:tr>
      <w:tr w14:paraId="1B8BD0C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31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60BB49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Ⅲ．查阅到《四国分区占领德国示意图》及美苏关于“柏林危机”档案纪要的一手史料</w:t>
            </w:r>
          </w:p>
        </w:tc>
        <w:tc>
          <w:tcPr>
            <w:tcW w:w="32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EC4297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③得出中国实现了民族独立的推论</w:t>
            </w:r>
          </w:p>
        </w:tc>
      </w:tr>
      <w:tr w14:paraId="18D4AE4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31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70EF52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V</w:t>
            </w:r>
            <w:r>
              <w:rPr>
                <w:rFonts w:ascii="宋体" w:hAnsi="宋体" w:eastAsia="宋体" w:cs="宋体"/>
                <w:color w:val="000000"/>
              </w:rPr>
              <w:t>．提出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20</w:t>
            </w:r>
            <w:r>
              <w:rPr>
                <w:rFonts w:ascii="宋体" w:hAnsi="宋体" w:eastAsia="宋体" w:cs="宋体"/>
                <w:color w:val="000000"/>
              </w:rPr>
              <w:t>世纪七八十年代，美国经济发展放缓的观点</w:t>
            </w:r>
          </w:p>
        </w:tc>
        <w:tc>
          <w:tcPr>
            <w:tcW w:w="32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78812D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④寻找国际联盟在美国总统威尔逊的倡议下得以建立作为依据</w:t>
            </w:r>
          </w:p>
        </w:tc>
      </w:tr>
    </w:tbl>
    <w:p w14:paraId="45597677">
      <w:pPr>
        <w:spacing w:line="360" w:lineRule="auto"/>
        <w:jc w:val="left"/>
        <w:textAlignment w:val="center"/>
        <w:rPr>
          <w:color w:val="000000"/>
        </w:rPr>
      </w:pPr>
    </w:p>
    <w:p w14:paraId="6E6C362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27" name="图片 100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Times New Roman" w:hAnsi="Times New Roman" w:eastAsia="Times New Roman" w:cs="Times New Roman"/>
          <w:color w:val="000000"/>
        </w:rPr>
        <w:t>I-</w:t>
      </w:r>
      <w:r>
        <w:rPr>
          <w:rFonts w:ascii="宋体" w:hAnsi="宋体" w:eastAsia="宋体" w:cs="宋体"/>
          <w:color w:val="000000"/>
        </w:rPr>
        <w:t>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II-</w:t>
      </w:r>
      <w:r>
        <w:rPr>
          <w:rFonts w:ascii="宋体" w:hAnsi="宋体" w:eastAsia="宋体" w:cs="宋体"/>
          <w:color w:val="000000"/>
        </w:rPr>
        <w:t>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III-</w:t>
      </w:r>
      <w:r>
        <w:rPr>
          <w:rFonts w:ascii="宋体" w:hAnsi="宋体" w:eastAsia="宋体" w:cs="宋体"/>
          <w:color w:val="000000"/>
        </w:rPr>
        <w:t>①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IV-</w:t>
      </w:r>
      <w:r>
        <w:rPr>
          <w:rFonts w:ascii="宋体" w:hAnsi="宋体" w:eastAsia="宋体" w:cs="宋体"/>
          <w:color w:val="000000"/>
        </w:rPr>
        <w:t>②</w:t>
      </w:r>
    </w:p>
    <w:p w14:paraId="511206F6">
      <w:pPr>
        <w:spacing w:line="285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二、非选择题：包括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小题、共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52</w:t>
      </w:r>
      <w:r>
        <w:rPr>
          <w:rFonts w:ascii="宋体" w:hAnsi="宋体" w:eastAsia="宋体" w:cs="宋体"/>
          <w:b/>
          <w:color w:val="000000"/>
          <w:sz w:val="24"/>
        </w:rPr>
        <w:t>分。</w:t>
      </w:r>
    </w:p>
    <w:p w14:paraId="11AB10F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从第一次仰望跟空开始，中国人就不断突破认识宇宙的边界。阅读材料。按要求回答问题。</w:t>
      </w:r>
    </w:p>
    <w:p w14:paraId="6313EA8B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材料一</w:t>
      </w:r>
    </w:p>
    <w:p w14:paraId="4E5BA52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946275"/>
            <wp:effectExtent l="0" t="0" r="0" b="15875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9463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33010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①甲骨文中的天象记录</w:t>
      </w:r>
      <w:r>
        <w:rPr>
          <w:rFonts w:ascii="Times New Roman" w:hAnsi="Times New Roman" w:eastAsia="Times New Roman" w:cs="Times New Roman"/>
          <w:color w:val="000000"/>
        </w:rPr>
        <w:t xml:space="preserve">       </w:t>
      </w:r>
      <w:r>
        <w:rPr>
          <w:rFonts w:ascii="宋体" w:hAnsi="宋体" w:eastAsia="宋体" w:cs="宋体"/>
          <w:color w:val="000000"/>
        </w:rPr>
        <w:t>②马王堆汉墓出土的彗星图</w:t>
      </w:r>
      <w:r>
        <w:rPr>
          <w:rFonts w:ascii="Times New Roman" w:hAnsi="Times New Roman" w:eastAsia="Times New Roman" w:cs="Times New Roman"/>
          <w:color w:val="000000"/>
        </w:rPr>
        <w:t xml:space="preserve">       </w:t>
      </w:r>
      <w:r>
        <w:rPr>
          <w:rFonts w:ascii="宋体" w:hAnsi="宋体" w:eastAsia="宋体" w:cs="宋体"/>
          <w:color w:val="000000"/>
        </w:rPr>
        <w:t>③嫦娥奔月传说</w:t>
      </w:r>
    </w:p>
    <w:p w14:paraId="1583E19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研究古人对宇宙探索的实践、图中哪些可作为直接证据？（写数字序号）</w:t>
      </w:r>
    </w:p>
    <w:p w14:paraId="0E4E3B1B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材料二  祖冲之（429-500）是南北朝杰出的科学家。他治学严谨，从不盲从。他在东晋天文学家虞喜研究成果的基础上，通过天文观测，并将数学方法运用到天文学领域、第一次将一年时长精确到365.2428天，与现代天文学测算结果只相差50秒，并创制出当时联先进的历法《大明历》。510年，南朝刘宋政府正式颁行《大明历》。20世纪、因其杰出的成就，相关国际组织将月球上的一座环形山命名为“祖冲之山”。</w:t>
      </w:r>
    </w:p>
    <w:p w14:paraId="4DC68549">
      <w:pPr>
        <w:spacing w:line="360" w:lineRule="auto"/>
        <w:ind w:firstLine="420"/>
        <w:jc w:val="righ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——摘编自白寿彝《中国通史》</w:t>
      </w:r>
    </w:p>
    <w:p w14:paraId="1F4FEAB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根据材料并结合所学知识，指出祖冲之在天文学领域取得的成就及其原因。</w:t>
      </w:r>
    </w:p>
    <w:p w14:paraId="11F445D2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材料三  新中国航空航天事业发展历程（部分）</w:t>
      </w:r>
    </w:p>
    <w:tbl>
      <w:tblPr>
        <w:tblStyle w:val="4"/>
        <w:tblW w:w="65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278"/>
        <w:gridCol w:w="2270"/>
        <w:gridCol w:w="2977"/>
      </w:tblGrid>
      <w:tr w14:paraId="51B1A9A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2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3CD4BB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时间</w:t>
            </w:r>
          </w:p>
        </w:tc>
        <w:tc>
          <w:tcPr>
            <w:tcW w:w="22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32CEC5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事件</w:t>
            </w:r>
          </w:p>
        </w:tc>
        <w:tc>
          <w:tcPr>
            <w:tcW w:w="29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D2478B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意义</w:t>
            </w:r>
          </w:p>
        </w:tc>
      </w:tr>
      <w:tr w14:paraId="5E94DDB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2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DD2DFD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1956年</w:t>
            </w:r>
          </w:p>
        </w:tc>
        <w:tc>
          <w:tcPr>
            <w:tcW w:w="22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761BFC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组建0038部队，钱学森担任院长</w:t>
            </w:r>
          </w:p>
        </w:tc>
        <w:tc>
          <w:tcPr>
            <w:tcW w:w="29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7C3A38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筹划发展独立的航天事业</w:t>
            </w:r>
          </w:p>
        </w:tc>
      </w:tr>
      <w:tr w14:paraId="1D60183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2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A0C3EC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1960年</w:t>
            </w:r>
          </w:p>
        </w:tc>
        <w:tc>
          <w:tcPr>
            <w:tcW w:w="22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D48FAA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自制第一枚导弹“东风一号”发射成功</w:t>
            </w:r>
          </w:p>
        </w:tc>
        <w:tc>
          <w:tcPr>
            <w:tcW w:w="29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D28942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中国开启了自行设计研制导弹的历程</w:t>
            </w:r>
          </w:p>
        </w:tc>
      </w:tr>
      <w:tr w14:paraId="2F6D123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2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DB6C49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1970年</w:t>
            </w:r>
          </w:p>
        </w:tc>
        <w:tc>
          <w:tcPr>
            <w:tcW w:w="22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EBE8A4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“东方红一号”发射成功</w:t>
            </w:r>
          </w:p>
        </w:tc>
        <w:tc>
          <w:tcPr>
            <w:tcW w:w="29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0EA4D0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中国成为世界上第五个能独立发射人造地球卫星的国家</w:t>
            </w:r>
          </w:p>
        </w:tc>
      </w:tr>
      <w:tr w14:paraId="5DD0ABE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2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1CF39B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2003年</w:t>
            </w:r>
          </w:p>
        </w:tc>
        <w:tc>
          <w:tcPr>
            <w:tcW w:w="22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93CD75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神舟五号载人飞船成功返回</w:t>
            </w:r>
          </w:p>
        </w:tc>
        <w:tc>
          <w:tcPr>
            <w:tcW w:w="29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F18077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中国成为世界上第三个掌握载人航天技术的国家</w:t>
            </w:r>
          </w:p>
        </w:tc>
      </w:tr>
      <w:tr w14:paraId="161D63A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2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8B0C1F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2004年</w:t>
            </w:r>
          </w:p>
        </w:tc>
        <w:tc>
          <w:tcPr>
            <w:tcW w:w="22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62C47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月球探测工程“嫦娥奔月计划”启动</w:t>
            </w:r>
          </w:p>
        </w:tc>
        <w:tc>
          <w:tcPr>
            <w:tcW w:w="29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954122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为人类和平利用月球作出新的贡献</w:t>
            </w:r>
          </w:p>
        </w:tc>
      </w:tr>
      <w:tr w14:paraId="32D30C0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2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5EECB1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2024年</w:t>
            </w:r>
          </w:p>
        </w:tc>
        <w:tc>
          <w:tcPr>
            <w:tcW w:w="22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9BE971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嫦娥六号登月装置发射成功</w:t>
            </w:r>
          </w:p>
        </w:tc>
        <w:tc>
          <w:tcPr>
            <w:tcW w:w="29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1A4695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与法国、意大利、巴基斯坦等国合作完成月球采样，和平开发太空资源</w:t>
            </w:r>
          </w:p>
        </w:tc>
      </w:tr>
    </w:tbl>
    <w:p w14:paraId="798B1467">
      <w:pPr>
        <w:spacing w:line="360" w:lineRule="auto"/>
        <w:jc w:val="left"/>
        <w:textAlignment w:val="center"/>
        <w:rPr>
          <w:color w:val="000000"/>
        </w:rPr>
      </w:pPr>
    </w:p>
    <w:p w14:paraId="53E0C6E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根据材料三并结合所学知识，指出新中国航空航天事业发展的特点。</w:t>
      </w:r>
    </w:p>
    <w:p w14:paraId="6C0A8E0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结合“嫦娥”千年奔月历程，谈谈你从中国人探索宇宙过程中感悟到的精神。</w:t>
      </w:r>
    </w:p>
    <w:p w14:paraId="083722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探索中西方交往的历史，为中国的发展和对外交往提供借鉴。阅读材料，按要求回答问题。</w:t>
      </w:r>
    </w:p>
    <w:p w14:paraId="5DFF4375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材料一</w:t>
      </w:r>
    </w:p>
    <w:p w14:paraId="325A08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115695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1160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CE13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根据材料一，指出图中两条路线在交往的主要方式上有何不同。</w:t>
      </w:r>
    </w:p>
    <w:p w14:paraId="627EB51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任选一条路线，提取其中至少两个相关联的信息，结合史实，阐述“文明交往”所产生的影响。</w:t>
      </w:r>
    </w:p>
    <w:p w14:paraId="7773B841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材料二  中共十八大以来，“丝绸之路经济带”和“21世纪海上丝绸之路”的深入实施，涉及60多个国家和地区，东牵亚太经济圈，西接欧洲经济圈，穿越非洲，环连亚欧，涉及人口约44亿。2013年以来，中国（上海）自由贸易试验区等多个自贸区相继成立。在自贸区内，对外贸易变得更加自由和便利。2015年12月，亚洲基础设施投资银行正式成立，这是全球首个由中国倡议设立的多边金融机构，旨在为亚洲国家的基础设施建设提供资金支持。</w:t>
      </w:r>
    </w:p>
    <w:p w14:paraId="413B0293">
      <w:pPr>
        <w:spacing w:line="360" w:lineRule="auto"/>
        <w:ind w:firstLine="420"/>
        <w:jc w:val="righ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——摘编自沈传亮《新时代·中国梦的提出与新的开局》</w:t>
      </w:r>
    </w:p>
    <w:p w14:paraId="0F19A29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根据材料并结合所学知识，指出面对全球化潮流，中共十八大以来中国对外交流的举措和启示。</w:t>
      </w:r>
    </w:p>
    <w:p w14:paraId="2848660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综合探究题。</w:t>
      </w:r>
    </w:p>
    <w:p w14:paraId="687F83E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探究一：诗史证历史</w:t>
      </w:r>
    </w:p>
    <w:tbl>
      <w:tblPr>
        <w:tblStyle w:val="4"/>
        <w:tblW w:w="724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4815"/>
        <w:gridCol w:w="2430"/>
      </w:tblGrid>
      <w:tr w14:paraId="48B1EB0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330" w:hRule="atLeast"/>
        </w:trPr>
        <w:tc>
          <w:tcPr>
            <w:tcW w:w="48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BAF03A2">
            <w:pPr>
              <w:spacing w:line="360" w:lineRule="auto"/>
              <w:ind w:firstLine="420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“尽道隋亡为此河，至今千里赖通波。若无水殿龙舟事，共禹论功不较多。”</w:t>
            </w:r>
          </w:p>
          <w:p w14:paraId="1AD4E3E5">
            <w:pPr>
              <w:spacing w:line="360" w:lineRule="auto"/>
              <w:ind w:firstLine="420"/>
              <w:jc w:val="righ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——摘自（唐）皮日休《汴河怀古》</w:t>
            </w:r>
          </w:p>
          <w:p w14:paraId="001C31B0">
            <w:pPr>
              <w:spacing w:line="360" w:lineRule="auto"/>
              <w:ind w:firstLine="420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605年，（隋炀帝）发河南、淮北诸郡民，前后百余万人，开掘名为通济渠的大运河。自洛阳西苑引谷、洛二水入黄河，自黄河入汴水……引汴水以达淮水。</w:t>
            </w:r>
          </w:p>
          <w:p w14:paraId="1FF41DA0">
            <w:pPr>
              <w:spacing w:line="360" w:lineRule="auto"/>
              <w:ind w:firstLine="420"/>
              <w:jc w:val="righ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——摘自范文澜《中国通史》</w:t>
            </w:r>
          </w:p>
        </w:tc>
        <w:tc>
          <w:tcPr>
            <w:tcW w:w="24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DDD9AE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295400" cy="1476375"/>
                  <wp:effectExtent l="0" t="0" r="0" b="0"/>
                  <wp:docPr id="100023" name="图片 100023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23" name="图片 100023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5400" cy="1476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C39A963">
      <w:pPr>
        <w:spacing w:line="360" w:lineRule="auto"/>
        <w:jc w:val="left"/>
        <w:textAlignment w:val="center"/>
        <w:rPr>
          <w:color w:val="000000"/>
        </w:rPr>
      </w:pPr>
    </w:p>
    <w:p w14:paraId="44DEC4F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史料互证是历史学习的方法之一。提取图</w:t>
      </w:r>
      <w:r>
        <w:rPr>
          <w:rFonts w:ascii="Times New Roman" w:hAnsi="Times New Roman" w:eastAsia="Times New Roman" w:cs="Times New Roman"/>
          <w:color w:val="000000"/>
        </w:rPr>
        <w:t>9</w:t>
      </w:r>
      <w:r>
        <w:rPr>
          <w:rFonts w:ascii="宋体" w:hAnsi="宋体" w:eastAsia="宋体" w:cs="宋体"/>
          <w:color w:val="000000"/>
        </w:rPr>
        <w:t>中可以相互印证的历史信息，并得出互证的结论。</w:t>
      </w:r>
    </w:p>
    <w:p w14:paraId="4B028F1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探究二：数据探历史</w:t>
      </w:r>
    </w:p>
    <w:tbl>
      <w:tblPr>
        <w:tblStyle w:val="4"/>
        <w:tblW w:w="500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4993"/>
        <w:gridCol w:w="4993"/>
      </w:tblGrid>
      <w:tr w14:paraId="555D1C5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FB1669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从1807年起，蒸汽机开始运用于推动船舶，英国的第一艘汽船造成之后，又造了600多艘。19世纪，英国占世界制造业的份额从2%上升到23%，来自大西洋彼岸的竞争摧毁了亚洲的传统制造业。</w:t>
            </w:r>
          </w:p>
          <w:p w14:paraId="0B869D25">
            <w:pPr>
              <w:spacing w:line="360" w:lineRule="auto"/>
              <w:jc w:val="righ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——摘编自《马克思恩格斯全集》等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tbl>
            <w:tblPr>
              <w:tblStyle w:val="4"/>
              <w:tblW w:w="4755" w:type="dxa"/>
              <w:tblInd w:w="0" w:type="dxa"/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Layout w:type="autofit"/>
              <w:tblCellMar>
                <w:top w:w="120" w:type="dxa"/>
                <w:left w:w="120" w:type="dxa"/>
                <w:bottom w:w="120" w:type="dxa"/>
                <w:right w:w="120" w:type="dxa"/>
              </w:tblCellMar>
            </w:tblPr>
            <w:tblGrid>
              <w:gridCol w:w="1585"/>
              <w:gridCol w:w="1585"/>
              <w:gridCol w:w="1585"/>
            </w:tblGrid>
            <w:tr w14:paraId="710AE668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120" w:type="dxa"/>
                  <w:left w:w="120" w:type="dxa"/>
                  <w:bottom w:w="120" w:type="dxa"/>
                  <w:right w:w="120" w:type="dxa"/>
                </w:tblCellMar>
              </w:tblPrEx>
              <w:trPr>
                <w:trHeight w:val="330" w:hRule="atLeast"/>
              </w:trPr>
              <w:tc>
                <w:tcPr>
                  <w:tcW w:w="4755" w:type="dxa"/>
                  <w:gridSpan w:val="3"/>
                  <w:tcBorders>
                    <w:top w:val="single" w:color="000000" w:sz="6" w:space="0"/>
                    <w:left w:val="single" w:color="000000" w:sz="6" w:space="0"/>
                    <w:bottom w:val="single" w:color="000000" w:sz="6" w:space="0"/>
                    <w:right w:val="single" w:color="000000" w:sz="6" w:space="0"/>
                  </w:tcBorders>
                  <w:noWrap w:val="0"/>
                  <w:tcMar>
                    <w:top w:w="75" w:type="dxa"/>
                    <w:bottom w:w="75" w:type="dxa"/>
                  </w:tcMar>
                  <w:vAlign w:val="center"/>
                </w:tcPr>
                <w:p w14:paraId="470B5373">
                  <w:pPr>
                    <w:spacing w:line="360" w:lineRule="auto"/>
                    <w:jc w:val="center"/>
                    <w:textAlignment w:val="center"/>
                    <w:rPr>
                      <w:color w:val="000000"/>
                    </w:rPr>
                  </w:pPr>
                  <w:r>
                    <w:rPr>
                      <w:rFonts w:ascii="楷体" w:hAnsi="楷体" w:eastAsia="楷体" w:cs="楷体"/>
                      <w:color w:val="000000"/>
                    </w:rPr>
                    <w:t>英国工业城市变化表</w:t>
                  </w:r>
                </w:p>
              </w:tc>
            </w:tr>
            <w:tr w14:paraId="08A57248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120" w:type="dxa"/>
                  <w:left w:w="120" w:type="dxa"/>
                  <w:bottom w:w="120" w:type="dxa"/>
                  <w:right w:w="120" w:type="dxa"/>
                </w:tblCellMar>
              </w:tblPrEx>
              <w:trPr>
                <w:trHeight w:val="330" w:hRule="atLeast"/>
              </w:trPr>
              <w:tc>
                <w:tcPr>
                  <w:tcW w:w="1590" w:type="dxa"/>
                  <w:tcBorders>
                    <w:top w:val="single" w:color="000000" w:sz="6" w:space="0"/>
                    <w:left w:val="single" w:color="000000" w:sz="6" w:space="0"/>
                    <w:bottom w:val="single" w:color="000000" w:sz="6" w:space="0"/>
                    <w:right w:val="single" w:color="000000" w:sz="6" w:space="0"/>
                  </w:tcBorders>
                  <w:noWrap w:val="0"/>
                  <w:tcMar>
                    <w:top w:w="75" w:type="dxa"/>
                    <w:bottom w:w="75" w:type="dxa"/>
                  </w:tcMar>
                  <w:vAlign w:val="center"/>
                </w:tcPr>
                <w:p w14:paraId="440FB055">
                  <w:pPr>
                    <w:spacing w:line="360" w:lineRule="auto"/>
                    <w:jc w:val="left"/>
                    <w:textAlignment w:val="center"/>
                    <w:rPr>
                      <w:color w:val="000000"/>
                    </w:rPr>
                  </w:pPr>
                  <w:r>
                    <w:rPr>
                      <w:rFonts w:ascii="楷体" w:hAnsi="楷体" w:eastAsia="楷体" w:cs="楷体"/>
                      <w:color w:val="000000"/>
                    </w:rPr>
                    <w:t>时间</w:t>
                  </w:r>
                </w:p>
              </w:tc>
              <w:tc>
                <w:tcPr>
                  <w:tcW w:w="1590" w:type="dxa"/>
                  <w:tcBorders>
                    <w:top w:val="single" w:color="000000" w:sz="6" w:space="0"/>
                    <w:left w:val="single" w:color="000000" w:sz="6" w:space="0"/>
                    <w:bottom w:val="single" w:color="000000" w:sz="6" w:space="0"/>
                    <w:right w:val="single" w:color="000000" w:sz="6" w:space="0"/>
                  </w:tcBorders>
                  <w:noWrap w:val="0"/>
                  <w:tcMar>
                    <w:top w:w="75" w:type="dxa"/>
                    <w:bottom w:w="75" w:type="dxa"/>
                  </w:tcMar>
                  <w:vAlign w:val="center"/>
                </w:tcPr>
                <w:p w14:paraId="4774DB3F">
                  <w:pPr>
                    <w:spacing w:line="360" w:lineRule="auto"/>
                    <w:jc w:val="left"/>
                    <w:textAlignment w:val="center"/>
                    <w:rPr>
                      <w:color w:val="000000"/>
                    </w:rPr>
                  </w:pPr>
                  <w:r>
                    <w:rPr>
                      <w:rFonts w:ascii="楷体" w:hAnsi="楷体" w:eastAsia="楷体" w:cs="楷体"/>
                      <w:color w:val="000000"/>
                    </w:rPr>
                    <w:t>人口</w:t>
                  </w:r>
                </w:p>
              </w:tc>
              <w:tc>
                <w:tcPr>
                  <w:tcW w:w="1590" w:type="dxa"/>
                  <w:tcBorders>
                    <w:top w:val="single" w:color="000000" w:sz="6" w:space="0"/>
                    <w:left w:val="single" w:color="000000" w:sz="6" w:space="0"/>
                    <w:bottom w:val="single" w:color="000000" w:sz="6" w:space="0"/>
                    <w:right w:val="single" w:color="000000" w:sz="6" w:space="0"/>
                  </w:tcBorders>
                  <w:noWrap w:val="0"/>
                  <w:tcMar>
                    <w:top w:w="75" w:type="dxa"/>
                    <w:bottom w:w="75" w:type="dxa"/>
                  </w:tcMar>
                  <w:vAlign w:val="center"/>
                </w:tcPr>
                <w:p w14:paraId="6DB228C0">
                  <w:pPr>
                    <w:spacing w:line="360" w:lineRule="auto"/>
                    <w:jc w:val="left"/>
                    <w:textAlignment w:val="center"/>
                    <w:rPr>
                      <w:color w:val="000000"/>
                    </w:rPr>
                  </w:pPr>
                  <w:r>
                    <w:rPr>
                      <w:rFonts w:ascii="楷体" w:hAnsi="楷体" w:eastAsia="楷体" w:cs="楷体"/>
                      <w:color w:val="000000"/>
                    </w:rPr>
                    <w:t>数量</w:t>
                  </w:r>
                </w:p>
              </w:tc>
            </w:tr>
            <w:tr w14:paraId="31F97EC6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120" w:type="dxa"/>
                  <w:left w:w="120" w:type="dxa"/>
                  <w:bottom w:w="120" w:type="dxa"/>
                  <w:right w:w="120" w:type="dxa"/>
                </w:tblCellMar>
              </w:tblPrEx>
              <w:trPr>
                <w:trHeight w:val="330" w:hRule="atLeast"/>
              </w:trPr>
              <w:tc>
                <w:tcPr>
                  <w:tcW w:w="1590" w:type="dxa"/>
                  <w:tcBorders>
                    <w:top w:val="single" w:color="000000" w:sz="6" w:space="0"/>
                    <w:left w:val="single" w:color="000000" w:sz="6" w:space="0"/>
                    <w:bottom w:val="single" w:color="000000" w:sz="6" w:space="0"/>
                    <w:right w:val="single" w:color="000000" w:sz="6" w:space="0"/>
                  </w:tcBorders>
                  <w:noWrap w:val="0"/>
                  <w:tcMar>
                    <w:top w:w="75" w:type="dxa"/>
                    <w:bottom w:w="75" w:type="dxa"/>
                  </w:tcMar>
                  <w:vAlign w:val="center"/>
                </w:tcPr>
                <w:p w14:paraId="37F47D66">
                  <w:pPr>
                    <w:spacing w:line="360" w:lineRule="auto"/>
                    <w:jc w:val="left"/>
                    <w:textAlignment w:val="center"/>
                    <w:rPr>
                      <w:color w:val="000000"/>
                    </w:rPr>
                  </w:pPr>
                  <w:r>
                    <w:rPr>
                      <w:rFonts w:ascii="楷体" w:hAnsi="楷体" w:eastAsia="楷体" w:cs="楷体"/>
                      <w:color w:val="000000"/>
                    </w:rPr>
                    <w:t>1800年</w:t>
                  </w:r>
                </w:p>
              </w:tc>
              <w:tc>
                <w:tcPr>
                  <w:tcW w:w="1590" w:type="dxa"/>
                  <w:tcBorders>
                    <w:top w:val="single" w:color="000000" w:sz="6" w:space="0"/>
                    <w:left w:val="single" w:color="000000" w:sz="6" w:space="0"/>
                    <w:bottom w:val="single" w:color="000000" w:sz="6" w:space="0"/>
                    <w:right w:val="single" w:color="000000" w:sz="6" w:space="0"/>
                  </w:tcBorders>
                  <w:noWrap w:val="0"/>
                  <w:tcMar>
                    <w:top w:w="75" w:type="dxa"/>
                    <w:bottom w:w="75" w:type="dxa"/>
                  </w:tcMar>
                  <w:vAlign w:val="center"/>
                </w:tcPr>
                <w:p w14:paraId="45E88C7E">
                  <w:pPr>
                    <w:spacing w:line="360" w:lineRule="auto"/>
                    <w:jc w:val="left"/>
                    <w:textAlignment w:val="center"/>
                    <w:rPr>
                      <w:color w:val="000000"/>
                    </w:rPr>
                  </w:pPr>
                  <w:r>
                    <w:rPr>
                      <w:rFonts w:ascii="楷体" w:hAnsi="楷体" w:eastAsia="楷体" w:cs="楷体"/>
                      <w:color w:val="000000"/>
                    </w:rPr>
                    <w:t>大于10万</w:t>
                  </w:r>
                </w:p>
              </w:tc>
              <w:tc>
                <w:tcPr>
                  <w:tcW w:w="1590" w:type="dxa"/>
                  <w:tcBorders>
                    <w:top w:val="single" w:color="000000" w:sz="6" w:space="0"/>
                    <w:left w:val="single" w:color="000000" w:sz="6" w:space="0"/>
                    <w:bottom w:val="single" w:color="000000" w:sz="6" w:space="0"/>
                    <w:right w:val="single" w:color="000000" w:sz="6" w:space="0"/>
                  </w:tcBorders>
                  <w:noWrap w:val="0"/>
                  <w:tcMar>
                    <w:top w:w="75" w:type="dxa"/>
                    <w:bottom w:w="75" w:type="dxa"/>
                  </w:tcMar>
                  <w:vAlign w:val="center"/>
                </w:tcPr>
                <w:p w14:paraId="54746729">
                  <w:pPr>
                    <w:spacing w:line="360" w:lineRule="auto"/>
                    <w:jc w:val="left"/>
                    <w:textAlignment w:val="center"/>
                    <w:rPr>
                      <w:color w:val="000000"/>
                    </w:rPr>
                  </w:pPr>
                  <w:r>
                    <w:rPr>
                      <w:rFonts w:ascii="楷体" w:hAnsi="楷体" w:eastAsia="楷体" w:cs="楷体"/>
                      <w:color w:val="000000"/>
                    </w:rPr>
                    <w:t>0座</w:t>
                  </w:r>
                </w:p>
              </w:tc>
            </w:tr>
            <w:tr w14:paraId="6E3483E4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120" w:type="dxa"/>
                  <w:left w:w="120" w:type="dxa"/>
                  <w:bottom w:w="120" w:type="dxa"/>
                  <w:right w:w="120" w:type="dxa"/>
                </w:tblCellMar>
              </w:tblPrEx>
              <w:trPr>
                <w:trHeight w:val="330" w:hRule="atLeast"/>
              </w:trPr>
              <w:tc>
                <w:tcPr>
                  <w:tcW w:w="1590" w:type="dxa"/>
                  <w:tcBorders>
                    <w:top w:val="single" w:color="000000" w:sz="6" w:space="0"/>
                    <w:left w:val="single" w:color="000000" w:sz="6" w:space="0"/>
                    <w:bottom w:val="single" w:color="000000" w:sz="6" w:space="0"/>
                    <w:right w:val="single" w:color="000000" w:sz="6" w:space="0"/>
                  </w:tcBorders>
                  <w:noWrap w:val="0"/>
                  <w:tcMar>
                    <w:top w:w="75" w:type="dxa"/>
                    <w:bottom w:w="75" w:type="dxa"/>
                  </w:tcMar>
                  <w:vAlign w:val="center"/>
                </w:tcPr>
                <w:p w14:paraId="493E5FC8">
                  <w:pPr>
                    <w:spacing w:line="360" w:lineRule="auto"/>
                    <w:jc w:val="left"/>
                    <w:textAlignment w:val="center"/>
                    <w:rPr>
                      <w:color w:val="000000"/>
                    </w:rPr>
                  </w:pPr>
                  <w:r>
                    <w:rPr>
                      <w:rFonts w:ascii="楷体" w:hAnsi="楷体" w:eastAsia="楷体" w:cs="楷体"/>
                      <w:color w:val="000000"/>
                    </w:rPr>
                    <w:t>1837年</w:t>
                  </w:r>
                </w:p>
              </w:tc>
              <w:tc>
                <w:tcPr>
                  <w:tcW w:w="1590" w:type="dxa"/>
                  <w:tcBorders>
                    <w:top w:val="single" w:color="000000" w:sz="6" w:space="0"/>
                    <w:left w:val="single" w:color="000000" w:sz="6" w:space="0"/>
                    <w:bottom w:val="single" w:color="000000" w:sz="6" w:space="0"/>
                    <w:right w:val="single" w:color="000000" w:sz="6" w:space="0"/>
                  </w:tcBorders>
                  <w:noWrap w:val="0"/>
                  <w:tcMar>
                    <w:top w:w="75" w:type="dxa"/>
                    <w:bottom w:w="75" w:type="dxa"/>
                  </w:tcMar>
                  <w:vAlign w:val="center"/>
                </w:tcPr>
                <w:p w14:paraId="79E3DA83">
                  <w:pPr>
                    <w:spacing w:line="360" w:lineRule="auto"/>
                    <w:jc w:val="left"/>
                    <w:textAlignment w:val="center"/>
                    <w:rPr>
                      <w:color w:val="000000"/>
                    </w:rPr>
                  </w:pPr>
                  <w:r>
                    <w:rPr>
                      <w:rFonts w:ascii="楷体" w:hAnsi="楷体" w:eastAsia="楷体" w:cs="楷体"/>
                      <w:color w:val="000000"/>
                    </w:rPr>
                    <w:t>大于10万</w:t>
                  </w:r>
                </w:p>
              </w:tc>
              <w:tc>
                <w:tcPr>
                  <w:tcW w:w="1590" w:type="dxa"/>
                  <w:tcBorders>
                    <w:top w:val="single" w:color="000000" w:sz="6" w:space="0"/>
                    <w:left w:val="single" w:color="000000" w:sz="6" w:space="0"/>
                    <w:bottom w:val="single" w:color="000000" w:sz="6" w:space="0"/>
                    <w:right w:val="single" w:color="000000" w:sz="6" w:space="0"/>
                  </w:tcBorders>
                  <w:noWrap w:val="0"/>
                  <w:tcMar>
                    <w:top w:w="75" w:type="dxa"/>
                    <w:bottom w:w="75" w:type="dxa"/>
                  </w:tcMar>
                  <w:vAlign w:val="center"/>
                </w:tcPr>
                <w:p w14:paraId="06EC0E7B">
                  <w:pPr>
                    <w:spacing w:line="360" w:lineRule="auto"/>
                    <w:jc w:val="left"/>
                    <w:textAlignment w:val="center"/>
                    <w:rPr>
                      <w:color w:val="000000"/>
                    </w:rPr>
                  </w:pPr>
                  <w:r>
                    <w:rPr>
                      <w:rFonts w:ascii="楷体" w:hAnsi="楷体" w:eastAsia="楷体" w:cs="楷体"/>
                      <w:color w:val="000000"/>
                    </w:rPr>
                    <w:t>5座</w:t>
                  </w:r>
                </w:p>
              </w:tc>
            </w:tr>
            <w:tr w14:paraId="2616B63C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120" w:type="dxa"/>
                  <w:left w:w="120" w:type="dxa"/>
                  <w:bottom w:w="120" w:type="dxa"/>
                  <w:right w:w="120" w:type="dxa"/>
                </w:tblCellMar>
              </w:tblPrEx>
              <w:trPr>
                <w:trHeight w:val="330" w:hRule="atLeast"/>
              </w:trPr>
              <w:tc>
                <w:tcPr>
                  <w:tcW w:w="1590" w:type="dxa"/>
                  <w:tcBorders>
                    <w:top w:val="single" w:color="000000" w:sz="6" w:space="0"/>
                    <w:left w:val="single" w:color="000000" w:sz="6" w:space="0"/>
                    <w:bottom w:val="single" w:color="000000" w:sz="6" w:space="0"/>
                    <w:right w:val="single" w:color="000000" w:sz="6" w:space="0"/>
                  </w:tcBorders>
                  <w:noWrap w:val="0"/>
                  <w:tcMar>
                    <w:top w:w="75" w:type="dxa"/>
                    <w:bottom w:w="75" w:type="dxa"/>
                  </w:tcMar>
                  <w:vAlign w:val="center"/>
                </w:tcPr>
                <w:p w14:paraId="71251195">
                  <w:pPr>
                    <w:spacing w:line="360" w:lineRule="auto"/>
                    <w:jc w:val="left"/>
                    <w:textAlignment w:val="center"/>
                    <w:rPr>
                      <w:color w:val="000000"/>
                    </w:rPr>
                  </w:pPr>
                  <w:r>
                    <w:rPr>
                      <w:rFonts w:ascii="楷体" w:hAnsi="楷体" w:eastAsia="楷体" w:cs="楷体"/>
                      <w:color w:val="000000"/>
                    </w:rPr>
                    <w:t>1891年</w:t>
                  </w:r>
                </w:p>
              </w:tc>
              <w:tc>
                <w:tcPr>
                  <w:tcW w:w="1590" w:type="dxa"/>
                  <w:tcBorders>
                    <w:top w:val="single" w:color="000000" w:sz="6" w:space="0"/>
                    <w:left w:val="single" w:color="000000" w:sz="6" w:space="0"/>
                    <w:bottom w:val="single" w:color="000000" w:sz="6" w:space="0"/>
                    <w:right w:val="single" w:color="000000" w:sz="6" w:space="0"/>
                  </w:tcBorders>
                  <w:noWrap w:val="0"/>
                  <w:tcMar>
                    <w:top w:w="75" w:type="dxa"/>
                    <w:bottom w:w="75" w:type="dxa"/>
                  </w:tcMar>
                  <w:vAlign w:val="center"/>
                </w:tcPr>
                <w:p w14:paraId="51332BBE">
                  <w:pPr>
                    <w:spacing w:line="360" w:lineRule="auto"/>
                    <w:jc w:val="left"/>
                    <w:textAlignment w:val="center"/>
                    <w:rPr>
                      <w:color w:val="000000"/>
                    </w:rPr>
                  </w:pPr>
                  <w:r>
                    <w:rPr>
                      <w:rFonts w:ascii="楷体" w:hAnsi="楷体" w:eastAsia="楷体" w:cs="楷体"/>
                      <w:color w:val="000000"/>
                    </w:rPr>
                    <w:t>大于10万</w:t>
                  </w:r>
                </w:p>
              </w:tc>
              <w:tc>
                <w:tcPr>
                  <w:tcW w:w="1590" w:type="dxa"/>
                  <w:tcBorders>
                    <w:top w:val="single" w:color="000000" w:sz="6" w:space="0"/>
                    <w:left w:val="single" w:color="000000" w:sz="6" w:space="0"/>
                    <w:bottom w:val="single" w:color="000000" w:sz="6" w:space="0"/>
                    <w:right w:val="single" w:color="000000" w:sz="6" w:space="0"/>
                  </w:tcBorders>
                  <w:noWrap w:val="0"/>
                  <w:tcMar>
                    <w:top w:w="75" w:type="dxa"/>
                    <w:bottom w:w="75" w:type="dxa"/>
                  </w:tcMar>
                  <w:vAlign w:val="center"/>
                </w:tcPr>
                <w:p w14:paraId="3F2850E6">
                  <w:pPr>
                    <w:spacing w:line="360" w:lineRule="auto"/>
                    <w:jc w:val="left"/>
                    <w:textAlignment w:val="center"/>
                    <w:rPr>
                      <w:color w:val="000000"/>
                    </w:rPr>
                  </w:pPr>
                  <w:r>
                    <w:rPr>
                      <w:rFonts w:ascii="楷体" w:hAnsi="楷体" w:eastAsia="楷体" w:cs="楷体"/>
                      <w:color w:val="000000"/>
                    </w:rPr>
                    <w:t>23座</w:t>
                  </w:r>
                </w:p>
              </w:tc>
            </w:tr>
          </w:tbl>
          <w:p w14:paraId="20FC1DC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</w:tr>
      <w:tr w14:paraId="0845F3E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tbl>
            <w:tblPr>
              <w:tblStyle w:val="4"/>
              <w:tblW w:w="4755" w:type="dxa"/>
              <w:tblInd w:w="0" w:type="dxa"/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Layout w:type="autofit"/>
              <w:tblCellMar>
                <w:top w:w="120" w:type="dxa"/>
                <w:left w:w="120" w:type="dxa"/>
                <w:bottom w:w="120" w:type="dxa"/>
                <w:right w:w="120" w:type="dxa"/>
              </w:tblCellMar>
            </w:tblPr>
            <w:tblGrid>
              <w:gridCol w:w="4755"/>
            </w:tblGrid>
            <w:tr w14:paraId="4E236282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120" w:type="dxa"/>
                  <w:left w:w="120" w:type="dxa"/>
                  <w:bottom w:w="120" w:type="dxa"/>
                  <w:right w:w="120" w:type="dxa"/>
                </w:tblCellMar>
              </w:tblPrEx>
              <w:trPr>
                <w:trHeight w:val="330" w:hRule="atLeast"/>
              </w:trPr>
              <w:tc>
                <w:tcPr>
                  <w:tcW w:w="4755" w:type="dxa"/>
                  <w:tcBorders>
                    <w:top w:val="single" w:color="000000" w:sz="6" w:space="0"/>
                    <w:left w:val="single" w:color="000000" w:sz="6" w:space="0"/>
                    <w:bottom w:val="single" w:color="000000" w:sz="6" w:space="0"/>
                    <w:right w:val="single" w:color="000000" w:sz="6" w:space="0"/>
                  </w:tcBorders>
                  <w:noWrap w:val="0"/>
                  <w:tcMar>
                    <w:top w:w="75" w:type="dxa"/>
                    <w:bottom w:w="75" w:type="dxa"/>
                  </w:tcMar>
                  <w:vAlign w:val="center"/>
                </w:tcPr>
                <w:p w14:paraId="747E5D8D">
                  <w:pPr>
                    <w:spacing w:line="360" w:lineRule="auto"/>
                    <w:jc w:val="left"/>
                    <w:textAlignment w:val="center"/>
                    <w:rPr>
                      <w:color w:val="000000"/>
                    </w:rPr>
                  </w:pPr>
                  <w:r>
                    <w:rPr>
                      <w:rFonts w:ascii="楷体" w:hAnsi="楷体" w:eastAsia="楷体" w:cs="楷体"/>
                      <w:color w:val="000000"/>
                    </w:rPr>
                    <w:t>英国水陆交通建设概况</w:t>
                  </w:r>
                </w:p>
              </w:tc>
            </w:tr>
            <w:tr w14:paraId="072F7EF3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120" w:type="dxa"/>
                  <w:left w:w="120" w:type="dxa"/>
                  <w:bottom w:w="120" w:type="dxa"/>
                  <w:right w:w="120" w:type="dxa"/>
                </w:tblCellMar>
              </w:tblPrEx>
              <w:trPr>
                <w:trHeight w:val="330" w:hRule="atLeast"/>
              </w:trPr>
              <w:tc>
                <w:tcPr>
                  <w:tcW w:w="4755" w:type="dxa"/>
                  <w:tcBorders>
                    <w:top w:val="single" w:color="000000" w:sz="6" w:space="0"/>
                    <w:left w:val="single" w:color="000000" w:sz="6" w:space="0"/>
                    <w:bottom w:val="single" w:color="000000" w:sz="6" w:space="0"/>
                    <w:right w:val="single" w:color="000000" w:sz="6" w:space="0"/>
                  </w:tcBorders>
                  <w:noWrap w:val="0"/>
                  <w:tcMar>
                    <w:top w:w="75" w:type="dxa"/>
                    <w:bottom w:w="75" w:type="dxa"/>
                  </w:tcMar>
                  <w:vAlign w:val="center"/>
                </w:tcPr>
                <w:p w14:paraId="60D70935">
                  <w:pPr>
                    <w:spacing w:line="360" w:lineRule="auto"/>
                    <w:jc w:val="left"/>
                    <w:textAlignment w:val="center"/>
                    <w:rPr>
                      <w:color w:val="000000"/>
                    </w:rPr>
                  </w:pPr>
                  <w:r>
                    <w:rPr>
                      <w:rFonts w:ascii="楷体" w:hAnsi="楷体" w:eastAsia="楷体" w:cs="楷体"/>
                      <w:color w:val="000000"/>
                    </w:rPr>
                    <w:t>1761年：内陆运河1条</w:t>
                  </w:r>
                </w:p>
                <w:p w14:paraId="587D6593">
                  <w:pPr>
                    <w:spacing w:line="360" w:lineRule="auto"/>
                    <w:jc w:val="left"/>
                    <w:textAlignment w:val="center"/>
                    <w:rPr>
                      <w:color w:val="000000"/>
                    </w:rPr>
                  </w:pPr>
                  <w:r>
                    <w:rPr>
                      <w:rFonts w:ascii="楷体" w:hAnsi="楷体" w:eastAsia="楷体" w:cs="楷体"/>
                      <w:color w:val="000000"/>
                    </w:rPr>
                    <w:t>1790-1800年：新开凿内陆运河42条</w:t>
                  </w:r>
                </w:p>
                <w:p w14:paraId="2253DA52">
                  <w:pPr>
                    <w:spacing w:line="360" w:lineRule="auto"/>
                    <w:jc w:val="left"/>
                    <w:textAlignment w:val="center"/>
                    <w:rPr>
                      <w:color w:val="000000"/>
                    </w:rPr>
                  </w:pPr>
                  <w:r>
                    <w:rPr>
                      <w:rFonts w:ascii="楷体" w:hAnsi="楷体" w:eastAsia="楷体" w:cs="楷体"/>
                      <w:color w:val="000000"/>
                    </w:rPr>
                    <w:t>1844年：铁路公司50家共建铁路805英里</w:t>
                  </w:r>
                </w:p>
                <w:p w14:paraId="2E451527">
                  <w:pPr>
                    <w:spacing w:line="360" w:lineRule="auto"/>
                    <w:jc w:val="left"/>
                    <w:textAlignment w:val="center"/>
                    <w:rPr>
                      <w:color w:val="000000"/>
                    </w:rPr>
                  </w:pPr>
                  <w:r>
                    <w:rPr>
                      <w:rFonts w:ascii="楷体" w:hAnsi="楷体" w:eastAsia="楷体" w:cs="楷体"/>
                      <w:color w:val="000000"/>
                    </w:rPr>
                    <w:t>1845年：铁路公司120家共建铁路2896英里</w:t>
                  </w:r>
                </w:p>
                <w:p w14:paraId="69B3F5BA">
                  <w:pPr>
                    <w:spacing w:line="360" w:lineRule="auto"/>
                    <w:jc w:val="left"/>
                    <w:textAlignment w:val="center"/>
                    <w:rPr>
                      <w:color w:val="000000"/>
                    </w:rPr>
                  </w:pPr>
                  <w:r>
                    <w:rPr>
                      <w:rFonts w:ascii="楷体" w:hAnsi="楷体" w:eastAsia="楷体" w:cs="楷体"/>
                      <w:color w:val="000000"/>
                    </w:rPr>
                    <w:t>1846年：铁路公司272家共建铁路4540英里</w:t>
                  </w:r>
                </w:p>
                <w:p w14:paraId="5C0D0603">
                  <w:pPr>
                    <w:spacing w:line="360" w:lineRule="auto"/>
                    <w:jc w:val="left"/>
                    <w:textAlignment w:val="center"/>
                    <w:rPr>
                      <w:color w:val="000000"/>
                    </w:rPr>
                  </w:pPr>
                </w:p>
              </w:tc>
            </w:tr>
          </w:tbl>
          <w:p w14:paraId="091504A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B9AF3E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838325" cy="1276350"/>
                  <wp:effectExtent l="0" t="0" r="0" b="0"/>
                  <wp:docPr id="100025" name="图片 100025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25" name="图片 100025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8325" cy="1276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CFCB03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1750—1865年，英国经济发展情况</w:t>
            </w:r>
          </w:p>
        </w:tc>
      </w:tr>
    </w:tbl>
    <w:p w14:paraId="519AC928">
      <w:pPr>
        <w:spacing w:line="360" w:lineRule="auto"/>
        <w:jc w:val="righ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——摘编自欧阳萍、方文《19世纪英国城市交通的发展及其影响》等</w:t>
      </w:r>
    </w:p>
    <w:p w14:paraId="7E1D3BA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经济发展是各种因素形成合力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33" name="图片 100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结果。指出图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宋体" w:hAnsi="宋体" w:eastAsia="宋体" w:cs="宋体"/>
          <w:color w:val="000000"/>
        </w:rPr>
        <w:t>中至少三个与英国经济发展的相关因素，并探究这些因素之间的关系。</w:t>
      </w:r>
    </w:p>
    <w:p w14:paraId="04D352D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探究三：辩证论历史</w:t>
      </w:r>
    </w:p>
    <w:p w14:paraId="533BC972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1866年，外交官张德彝在日记中写道：从牛津乘火车赴伯明翰“沿途烟简丛立，高皆数丈，黑烟冥冥，直冲霄汉”。</w:t>
      </w:r>
    </w:p>
    <w:p w14:paraId="646332AA">
      <w:pPr>
        <w:spacing w:line="360" w:lineRule="auto"/>
        <w:ind w:firstLine="420"/>
        <w:jc w:val="righ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——摘编自张德彝《航海述奇》</w:t>
      </w:r>
    </w:p>
    <w:p w14:paraId="2E875588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巴拿马运河连接大西洋和太平洋，具有重要的经济和战略地位。运河区一直由美国控制。20世纪六七十年代，在埃及收回由英国把持的苏伊士运河主权后，巴拿马不断爆发群众性反美运动，要求收回运河主权。</w:t>
      </w:r>
    </w:p>
    <w:p w14:paraId="5856F1A5">
      <w:pPr>
        <w:spacing w:line="360" w:lineRule="auto"/>
        <w:ind w:firstLine="420"/>
        <w:jc w:val="righ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——摘编自斯塔夫里阿诺斯《全球通史》</w:t>
      </w:r>
    </w:p>
    <w:p w14:paraId="2FF4D73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综合上述材料，围绕“交通发展”，自拟主题，并结合相关史实进行论述。</w:t>
      </w:r>
    </w:p>
    <w:p w14:paraId="2263F8B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（要求：主题明确，价值正确，史论结合，辩证论述，结构完整）</w:t>
      </w:r>
    </w:p>
    <w:p w14:paraId="517DB60A">
      <w:pPr>
        <w:spacing w:line="360" w:lineRule="auto"/>
        <w:jc w:val="both"/>
        <w:textAlignment w:val="center"/>
        <w:rPr>
          <w:color w:val="000000"/>
        </w:rPr>
      </w:pP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15643A7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B138FFE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EF87751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001F759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AF0238D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D4969BE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85B0002"/>
    <w:rsid w:val="3026066E"/>
    <w:rsid w:val="326E76EA"/>
    <w:rsid w:val="382745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6" Type="http://schemas.openxmlformats.org/officeDocument/2006/relationships/fontTable" Target="fontTable.xml"/><Relationship Id="rId25" Type="http://schemas.openxmlformats.org/officeDocument/2006/relationships/customXml" Target="../customXml/item1.xml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wmf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wmf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6</Pages>
  <Words>3041</Words>
  <Characters>3207</Characters>
  <Lines>0</Lines>
  <Paragraphs>0</Paragraphs>
  <TotalTime>5</TotalTime>
  <ScaleCrop>false</ScaleCrop>
  <LinksUpToDate>false</LinksUpToDate>
  <CharactersWithSpaces>3418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2024-06-16T13:32:00Z</dcterms:created>
  <dc:creator>学科网试题生产平台</dc:creator>
  <dc:description>3518696991744000</dc:description>
  <cp:lastModifiedBy>上帝掷骰子吗</cp:lastModifiedBy>
  <dcterms:modified xsi:type="dcterms:W3CDTF">2026-02-09T06:12:11Z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24DBDE4283B848BFA5407641985AE671_12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